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178AB" w14:textId="175BD895" w:rsidR="00394172" w:rsidRDefault="00394172">
      <w:pPr>
        <w:rPr>
          <w:rFonts w:asciiTheme="majorHAnsi" w:hAnsiTheme="majorHAnsi" w:cstheme="majorHAnsi"/>
        </w:rPr>
      </w:pPr>
      <w:bookmarkStart w:id="0" w:name="_Hlk29539974"/>
    </w:p>
    <w:sdt>
      <w:sdtPr>
        <w:rPr>
          <w:rFonts w:asciiTheme="majorHAnsi" w:hAnsiTheme="majorHAnsi" w:cstheme="majorHAnsi"/>
        </w:rPr>
        <w:id w:val="1345828076"/>
        <w:docPartObj>
          <w:docPartGallery w:val="Cover Pages"/>
          <w:docPartUnique/>
        </w:docPartObj>
      </w:sdtPr>
      <w:sdtEndPr>
        <w:rPr>
          <w:b/>
          <w:bCs/>
        </w:rPr>
      </w:sdtEndPr>
      <w:sdtContent>
        <w:p w14:paraId="77F55BDE" w14:textId="4C3222E5" w:rsidR="00D17073" w:rsidRPr="001E72B1" w:rsidRDefault="00D17073">
          <w:pPr>
            <w:rPr>
              <w:rFonts w:asciiTheme="majorHAnsi" w:hAnsiTheme="majorHAnsi" w:cstheme="majorHAnsi"/>
            </w:rPr>
          </w:pPr>
        </w:p>
        <w:tbl>
          <w:tblPr>
            <w:tblpPr w:leftFromText="180" w:rightFromText="180" w:vertAnchor="text" w:horzAnchor="margin" w:tblpY="5883"/>
            <w:tblW w:w="5000" w:type="pct"/>
            <w:tblLayout w:type="fixed"/>
            <w:tblCellMar>
              <w:left w:w="0" w:type="dxa"/>
              <w:right w:w="0" w:type="dxa"/>
            </w:tblCellMar>
            <w:tblLook w:val="0600" w:firstRow="0" w:lastRow="0" w:firstColumn="0" w:lastColumn="0" w:noHBand="1" w:noVBand="1"/>
            <w:tblDescription w:val="Header layout table"/>
          </w:tblPr>
          <w:tblGrid>
            <w:gridCol w:w="9026"/>
          </w:tblGrid>
          <w:tr w:rsidR="00D17073" w:rsidRPr="001E72B1" w14:paraId="3B70A499" w14:textId="77777777" w:rsidTr="00D17073">
            <w:trPr>
              <w:trHeight w:val="270"/>
            </w:trPr>
            <w:tc>
              <w:tcPr>
                <w:tcW w:w="9026" w:type="dxa"/>
              </w:tcPr>
              <w:p w14:paraId="1AD2598C" w14:textId="427A8DA9" w:rsidR="00D17073" w:rsidRPr="001E72B1" w:rsidRDefault="00C00123" w:rsidP="00D17073">
                <w:pPr>
                  <w:pStyle w:val="Title"/>
                  <w:ind w:left="0"/>
                  <w:rPr>
                    <w:rFonts w:cstheme="majorHAnsi"/>
                    <w:i/>
                    <w:color w:val="auto"/>
                  </w:rPr>
                </w:pPr>
                <w:r>
                  <w:rPr>
                    <w:rFonts w:cstheme="majorHAnsi"/>
                    <w:i/>
                    <w:color w:val="auto"/>
                  </w:rPr>
                  <w:t>PMNCH 202</w:t>
                </w:r>
                <w:r w:rsidR="00D17073" w:rsidRPr="001E72B1">
                  <w:rPr>
                    <w:rFonts w:cstheme="majorHAnsi"/>
                    <w:i/>
                    <w:color w:val="auto"/>
                  </w:rPr>
                  <w:t>1-2025 strategy</w:t>
                </w:r>
              </w:p>
              <w:p w14:paraId="12C21A1E" w14:textId="7B74C270" w:rsidR="00D17073" w:rsidRPr="001E72B1" w:rsidRDefault="00B15F00" w:rsidP="00D17073">
                <w:pPr>
                  <w:rPr>
                    <w:rFonts w:asciiTheme="majorHAnsi" w:hAnsiTheme="majorHAnsi" w:cstheme="majorHAnsi"/>
                    <w:i/>
                  </w:rPr>
                </w:pPr>
                <w:r>
                  <w:rPr>
                    <w:rFonts w:asciiTheme="majorHAnsi" w:hAnsiTheme="majorHAnsi" w:cstheme="majorHAnsi"/>
                    <w:i/>
                  </w:rPr>
                  <w:t>First Full Draft</w:t>
                </w:r>
                <w:r w:rsidR="00194B5F">
                  <w:rPr>
                    <w:rFonts w:asciiTheme="majorHAnsi" w:hAnsiTheme="majorHAnsi" w:cstheme="majorHAnsi"/>
                    <w:i/>
                  </w:rPr>
                  <w:t xml:space="preserve"> </w:t>
                </w:r>
                <w:r w:rsidR="00D17073" w:rsidRPr="001E72B1">
                  <w:rPr>
                    <w:rFonts w:asciiTheme="majorHAnsi" w:hAnsiTheme="majorHAnsi" w:cstheme="majorHAnsi"/>
                    <w:i/>
                  </w:rPr>
                  <w:t xml:space="preserve">for </w:t>
                </w:r>
                <w:r w:rsidR="00571B02">
                  <w:rPr>
                    <w:rFonts w:asciiTheme="majorHAnsi" w:hAnsiTheme="majorHAnsi" w:cstheme="majorHAnsi"/>
                    <w:i/>
                  </w:rPr>
                  <w:t>C</w:t>
                </w:r>
                <w:r w:rsidR="00D17073" w:rsidRPr="001E72B1">
                  <w:rPr>
                    <w:rFonts w:asciiTheme="majorHAnsi" w:hAnsiTheme="majorHAnsi" w:cstheme="majorHAnsi"/>
                    <w:i/>
                  </w:rPr>
                  <w:t>onsultation</w:t>
                </w:r>
              </w:p>
            </w:tc>
          </w:tr>
          <w:tr w:rsidR="00D17073" w:rsidRPr="001C50F5" w14:paraId="7913B9EB" w14:textId="77777777" w:rsidTr="00D17073">
            <w:trPr>
              <w:trHeight w:val="630"/>
            </w:trPr>
            <w:tc>
              <w:tcPr>
                <w:tcW w:w="9026" w:type="dxa"/>
                <w:vAlign w:val="bottom"/>
              </w:tcPr>
              <w:p w14:paraId="3E21F39D" w14:textId="77777777" w:rsidR="00D17073" w:rsidRPr="001C50F5" w:rsidRDefault="00D17073" w:rsidP="001C50F5">
                <w:pPr>
                  <w:pStyle w:val="ContactInfo"/>
                  <w:rPr>
                    <w:rFonts w:asciiTheme="majorHAnsi" w:hAnsiTheme="majorHAnsi" w:cstheme="majorHAnsi"/>
                    <w:color w:val="auto"/>
                  </w:rPr>
                </w:pPr>
              </w:p>
              <w:p w14:paraId="6B676828" w14:textId="1446C1FC" w:rsidR="00E60C3F" w:rsidRPr="001C50F5" w:rsidRDefault="00EE2B71" w:rsidP="001C50F5">
                <w:pPr>
                  <w:pStyle w:val="ContactInfo"/>
                  <w:rPr>
                    <w:rFonts w:asciiTheme="majorHAnsi" w:hAnsiTheme="majorHAnsi" w:cstheme="majorHAnsi"/>
                    <w:color w:val="auto"/>
                  </w:rPr>
                </w:pPr>
                <w:r>
                  <w:rPr>
                    <w:rFonts w:asciiTheme="majorHAnsi" w:hAnsiTheme="majorHAnsi" w:cstheme="majorHAnsi"/>
                    <w:color w:val="auto"/>
                  </w:rPr>
                  <w:t>18</w:t>
                </w:r>
                <w:r w:rsidR="005E2D52" w:rsidRPr="005E2D52">
                  <w:rPr>
                    <w:rFonts w:asciiTheme="majorHAnsi" w:hAnsiTheme="majorHAnsi" w:cstheme="majorHAnsi"/>
                    <w:color w:val="auto"/>
                    <w:vertAlign w:val="superscript"/>
                  </w:rPr>
                  <w:t>th</w:t>
                </w:r>
                <w:r w:rsidR="005E2D52">
                  <w:rPr>
                    <w:rFonts w:asciiTheme="majorHAnsi" w:hAnsiTheme="majorHAnsi" w:cstheme="majorHAnsi"/>
                    <w:color w:val="auto"/>
                  </w:rPr>
                  <w:t xml:space="preserve"> </w:t>
                </w:r>
                <w:r>
                  <w:rPr>
                    <w:rFonts w:asciiTheme="majorHAnsi" w:hAnsiTheme="majorHAnsi" w:cstheme="majorHAnsi"/>
                    <w:color w:val="auto"/>
                  </w:rPr>
                  <w:t>May</w:t>
                </w:r>
                <w:r w:rsidR="00E60C3F" w:rsidRPr="001C50F5">
                  <w:rPr>
                    <w:rFonts w:asciiTheme="majorHAnsi" w:hAnsiTheme="majorHAnsi" w:cstheme="majorHAnsi"/>
                    <w:color w:val="auto"/>
                  </w:rPr>
                  <w:t xml:space="preserve"> 2020</w:t>
                </w:r>
              </w:p>
            </w:tc>
          </w:tr>
        </w:tbl>
        <w:p w14:paraId="04D06216" w14:textId="77777777" w:rsidR="00D17073" w:rsidRPr="001C50F5" w:rsidRDefault="00D17073" w:rsidP="001C50F5">
          <w:pPr>
            <w:rPr>
              <w:rFonts w:asciiTheme="majorHAnsi" w:hAnsiTheme="majorHAnsi" w:cstheme="majorHAnsi"/>
              <w:b/>
              <w:bCs/>
            </w:rPr>
          </w:pPr>
          <w:r w:rsidRPr="001C50F5">
            <w:rPr>
              <w:rFonts w:asciiTheme="majorHAnsi" w:hAnsiTheme="majorHAnsi" w:cstheme="majorHAnsi"/>
              <w:b/>
              <w:bCs/>
            </w:rPr>
            <w:br w:type="page"/>
          </w:r>
        </w:p>
      </w:sdtContent>
    </w:sdt>
    <w:p w14:paraId="5CC3E71B" w14:textId="579444A2" w:rsidR="00846AD2" w:rsidRDefault="00846AD2" w:rsidP="00FE516C">
      <w:pPr>
        <w:rPr>
          <w:rFonts w:cstheme="minorHAnsi"/>
          <w:b/>
          <w:bCs/>
          <w:color w:val="2F5496" w:themeColor="accent1" w:themeShade="BF"/>
        </w:rPr>
      </w:pPr>
      <w:bookmarkStart w:id="1" w:name="_Hlk39737985"/>
      <w:bookmarkStart w:id="2" w:name="_Hlk29372943"/>
      <w:r>
        <w:rPr>
          <w:rFonts w:cstheme="minorHAnsi"/>
          <w:b/>
          <w:bCs/>
          <w:color w:val="2F5496" w:themeColor="accent1" w:themeShade="BF"/>
        </w:rPr>
        <w:lastRenderedPageBreak/>
        <w:t>EXEC</w:t>
      </w:r>
      <w:r w:rsidR="00101E98">
        <w:rPr>
          <w:rFonts w:cstheme="minorHAnsi"/>
          <w:b/>
          <w:bCs/>
          <w:color w:val="2F5496" w:themeColor="accent1" w:themeShade="BF"/>
        </w:rPr>
        <w:t>UT</w:t>
      </w:r>
      <w:r>
        <w:rPr>
          <w:rFonts w:cstheme="minorHAnsi"/>
          <w:b/>
          <w:bCs/>
          <w:color w:val="2F5496" w:themeColor="accent1" w:themeShade="BF"/>
        </w:rPr>
        <w:t>IVE SUMMARY</w:t>
      </w:r>
    </w:p>
    <w:bookmarkEnd w:id="1"/>
    <w:p w14:paraId="420878DC" w14:textId="268777C5" w:rsidR="00846AD2" w:rsidRDefault="00846AD2" w:rsidP="00FE516C">
      <w:pPr>
        <w:rPr>
          <w:rFonts w:cstheme="minorHAnsi"/>
        </w:rPr>
      </w:pPr>
    </w:p>
    <w:p w14:paraId="360A8547" w14:textId="0D64326F" w:rsidR="00413831" w:rsidRPr="00053B99" w:rsidRDefault="00413831" w:rsidP="00FE516C">
      <w:pPr>
        <w:rPr>
          <w:rFonts w:cstheme="minorHAnsi"/>
        </w:rPr>
      </w:pPr>
      <w:r w:rsidRPr="00413831">
        <w:rPr>
          <w:rFonts w:cstheme="minorHAnsi"/>
        </w:rPr>
        <w:t xml:space="preserve">[To be drafted </w:t>
      </w:r>
      <w:r w:rsidR="002506FF">
        <w:rPr>
          <w:rFonts w:cstheme="minorHAnsi"/>
        </w:rPr>
        <w:t>for June 30</w:t>
      </w:r>
      <w:r w:rsidR="002506FF" w:rsidRPr="002506FF">
        <w:rPr>
          <w:rFonts w:cstheme="minorHAnsi"/>
          <w:vertAlign w:val="superscript"/>
        </w:rPr>
        <w:t>th</w:t>
      </w:r>
      <w:r w:rsidR="002506FF">
        <w:rPr>
          <w:rFonts w:cstheme="minorHAnsi"/>
        </w:rPr>
        <w:t xml:space="preserve"> Board draft</w:t>
      </w:r>
      <w:r w:rsidRPr="00413831">
        <w:rPr>
          <w:rFonts w:cstheme="minorHAnsi"/>
        </w:rPr>
        <w:t xml:space="preserve">. Probably a Foreword from the Board Chair + a </w:t>
      </w:r>
      <w:proofErr w:type="gramStart"/>
      <w:r w:rsidRPr="00413831">
        <w:rPr>
          <w:rFonts w:cstheme="minorHAnsi"/>
        </w:rPr>
        <w:t>1 page</w:t>
      </w:r>
      <w:proofErr w:type="gramEnd"/>
      <w:r w:rsidRPr="00413831">
        <w:rPr>
          <w:rFonts w:cstheme="minorHAnsi"/>
        </w:rPr>
        <w:t xml:space="preserve"> schematic summarising the Strategy (as per Section 4 Theory of Change)]</w:t>
      </w:r>
    </w:p>
    <w:p w14:paraId="0430BBA8" w14:textId="77777777" w:rsidR="00CA4371" w:rsidRPr="00FE516C" w:rsidRDefault="00CA4371" w:rsidP="00CA4371">
      <w:pPr>
        <w:contextualSpacing/>
        <w:jc w:val="both"/>
        <w:rPr>
          <w:rFonts w:eastAsia="Times New Roman" w:cstheme="minorHAnsi"/>
        </w:rPr>
      </w:pPr>
    </w:p>
    <w:p w14:paraId="5C9BDBB8" w14:textId="0B85C948" w:rsidR="00CA4371" w:rsidRDefault="00CA4371" w:rsidP="00CA4371">
      <w:pPr>
        <w:pStyle w:val="ListParagraph"/>
        <w:numPr>
          <w:ilvl w:val="0"/>
          <w:numId w:val="2"/>
        </w:numPr>
        <w:pBdr>
          <w:top w:val="single" w:sz="4" w:space="1" w:color="auto"/>
          <w:left w:val="single" w:sz="4" w:space="4" w:color="auto"/>
          <w:bottom w:val="single" w:sz="4" w:space="1" w:color="auto"/>
          <w:right w:val="single" w:sz="4" w:space="4" w:color="auto"/>
        </w:pBdr>
        <w:ind w:left="426"/>
        <w:jc w:val="both"/>
        <w:rPr>
          <w:rFonts w:cstheme="minorHAnsi"/>
          <w:b/>
          <w:bCs/>
          <w:color w:val="2F5496" w:themeColor="accent1" w:themeShade="BF"/>
        </w:rPr>
      </w:pPr>
      <w:r>
        <w:rPr>
          <w:rFonts w:cstheme="minorHAnsi"/>
          <w:b/>
          <w:bCs/>
          <w:color w:val="2F5496" w:themeColor="accent1" w:themeShade="BF"/>
        </w:rPr>
        <w:br w:type="page"/>
      </w:r>
    </w:p>
    <w:p w14:paraId="2566612D" w14:textId="0A29A676" w:rsidR="00E61D88" w:rsidRPr="00FE516C" w:rsidRDefault="00FE516C" w:rsidP="00FE516C">
      <w:pPr>
        <w:rPr>
          <w:rFonts w:cstheme="minorHAnsi"/>
          <w:b/>
          <w:bCs/>
          <w:color w:val="2F5496" w:themeColor="accent1" w:themeShade="BF"/>
        </w:rPr>
      </w:pPr>
      <w:r w:rsidRPr="00FE516C">
        <w:rPr>
          <w:rFonts w:cstheme="minorHAnsi"/>
          <w:b/>
          <w:bCs/>
          <w:color w:val="2F5496" w:themeColor="accent1" w:themeShade="BF"/>
        </w:rPr>
        <w:t>1.</w:t>
      </w:r>
      <w:r w:rsidRPr="00FE516C">
        <w:rPr>
          <w:rFonts w:cstheme="minorHAnsi"/>
          <w:b/>
          <w:bCs/>
          <w:color w:val="2F5496" w:themeColor="accent1" w:themeShade="BF"/>
        </w:rPr>
        <w:tab/>
      </w:r>
      <w:r w:rsidR="00E61D88" w:rsidRPr="00FE516C">
        <w:rPr>
          <w:rFonts w:cstheme="minorHAnsi"/>
          <w:b/>
          <w:bCs/>
          <w:color w:val="2F5496" w:themeColor="accent1" w:themeShade="BF"/>
        </w:rPr>
        <w:t>CONTEXT</w:t>
      </w:r>
    </w:p>
    <w:p w14:paraId="0E769B6E" w14:textId="77777777" w:rsidR="002C6FD9" w:rsidRPr="00FE516C" w:rsidRDefault="002C6FD9" w:rsidP="00AF42DD">
      <w:pPr>
        <w:pStyle w:val="ListParagraph"/>
        <w:ind w:left="0"/>
        <w:jc w:val="both"/>
        <w:rPr>
          <w:rFonts w:cstheme="minorHAnsi"/>
        </w:rPr>
      </w:pPr>
    </w:p>
    <w:p w14:paraId="2A34B5F5" w14:textId="520CB724" w:rsidR="00C3373F" w:rsidRPr="00275B4C" w:rsidRDefault="00C3373F" w:rsidP="00AF42DD">
      <w:pPr>
        <w:jc w:val="both"/>
        <w:rPr>
          <w:rFonts w:cstheme="minorHAnsi"/>
          <w:color w:val="2F5496" w:themeColor="accent1" w:themeShade="BF"/>
        </w:rPr>
      </w:pPr>
      <w:r w:rsidRPr="00275B4C">
        <w:rPr>
          <w:rFonts w:cstheme="minorHAnsi"/>
          <w:b/>
          <w:bCs/>
          <w:color w:val="2F5496" w:themeColor="accent1" w:themeShade="BF"/>
        </w:rPr>
        <w:t xml:space="preserve">Global burden of </w:t>
      </w:r>
      <w:r w:rsidR="00A71072" w:rsidRPr="00275B4C">
        <w:rPr>
          <w:rFonts w:cstheme="minorHAnsi"/>
          <w:b/>
          <w:bCs/>
          <w:color w:val="2F5496" w:themeColor="accent1" w:themeShade="BF"/>
        </w:rPr>
        <w:t>Women’s, Children’s &amp; Adolescents’ Health &amp; Well-Being</w:t>
      </w:r>
    </w:p>
    <w:p w14:paraId="02E3FCAB" w14:textId="77777777" w:rsidR="00AF42DD" w:rsidRDefault="00AF42DD" w:rsidP="00AF42DD">
      <w:pPr>
        <w:contextualSpacing/>
        <w:jc w:val="both"/>
        <w:rPr>
          <w:rFonts w:eastAsia="Times New Roman" w:cstheme="minorHAnsi"/>
        </w:rPr>
      </w:pPr>
    </w:p>
    <w:p w14:paraId="002D7351" w14:textId="57E5FAFF" w:rsidR="00AF42DD" w:rsidRDefault="00260783" w:rsidP="00AF42DD">
      <w:pPr>
        <w:contextualSpacing/>
        <w:jc w:val="both"/>
        <w:rPr>
          <w:rFonts w:eastAsia="Times New Roman" w:cstheme="minorHAnsi"/>
        </w:rPr>
      </w:pPr>
      <w:r w:rsidRPr="00FE516C">
        <w:rPr>
          <w:rFonts w:eastAsia="Times New Roman" w:cstheme="minorHAnsi"/>
        </w:rPr>
        <w:t>M</w:t>
      </w:r>
      <w:r w:rsidR="000322D6" w:rsidRPr="00FE516C">
        <w:rPr>
          <w:rFonts w:eastAsia="Times New Roman" w:cstheme="minorHAnsi"/>
        </w:rPr>
        <w:t xml:space="preserve">ajor gains </w:t>
      </w:r>
      <w:r w:rsidR="00183C98" w:rsidRPr="00FE516C">
        <w:rPr>
          <w:rFonts w:eastAsia="Times New Roman" w:cstheme="minorHAnsi"/>
        </w:rPr>
        <w:t xml:space="preserve">have been </w:t>
      </w:r>
      <w:r w:rsidR="000322D6" w:rsidRPr="00FE516C">
        <w:rPr>
          <w:rFonts w:eastAsia="Times New Roman" w:cstheme="minorHAnsi"/>
        </w:rPr>
        <w:t>ma</w:t>
      </w:r>
      <w:r w:rsidR="000322D6" w:rsidRPr="00AF42DD">
        <w:rPr>
          <w:rFonts w:eastAsia="Times New Roman" w:cstheme="minorHAnsi"/>
        </w:rPr>
        <w:t xml:space="preserve">de in </w:t>
      </w:r>
      <w:r w:rsidR="00AF42DD" w:rsidRPr="00AF42DD">
        <w:rPr>
          <w:rFonts w:cstheme="minorHAnsi"/>
        </w:rPr>
        <w:t xml:space="preserve">Women’s, Children’s &amp; Adolescents’ Health </w:t>
      </w:r>
      <w:r w:rsidR="00E5643F">
        <w:rPr>
          <w:rFonts w:cstheme="minorHAnsi"/>
        </w:rPr>
        <w:t>and</w:t>
      </w:r>
      <w:r w:rsidR="00AF42DD" w:rsidRPr="00AF42DD">
        <w:rPr>
          <w:rFonts w:cstheme="minorHAnsi"/>
        </w:rPr>
        <w:t xml:space="preserve"> Well-Being</w:t>
      </w:r>
      <w:r w:rsidR="00AF42DD" w:rsidRPr="006374FA">
        <w:rPr>
          <w:rFonts w:cstheme="minorHAnsi"/>
        </w:rPr>
        <w:t xml:space="preserve"> </w:t>
      </w:r>
      <w:r w:rsidR="006374FA" w:rsidRPr="006374FA">
        <w:rPr>
          <w:rFonts w:cstheme="minorHAnsi"/>
        </w:rPr>
        <w:t xml:space="preserve">(WCAH) </w:t>
      </w:r>
      <w:r w:rsidR="000322D6" w:rsidRPr="00FE516C">
        <w:rPr>
          <w:rFonts w:eastAsia="Times New Roman" w:cstheme="minorHAnsi"/>
        </w:rPr>
        <w:t>over the last three decades</w:t>
      </w:r>
      <w:r w:rsidR="001C71D7">
        <w:rPr>
          <w:rFonts w:eastAsia="Times New Roman" w:cstheme="minorHAnsi"/>
        </w:rPr>
        <w:t>. L</w:t>
      </w:r>
      <w:r w:rsidR="000322D6" w:rsidRPr="00FE516C">
        <w:rPr>
          <w:rFonts w:eastAsia="Times New Roman" w:cstheme="minorHAnsi"/>
        </w:rPr>
        <w:t>ife expectancy</w:t>
      </w:r>
      <w:r w:rsidR="00183C98" w:rsidRPr="00FE516C">
        <w:rPr>
          <w:rFonts w:eastAsia="Times New Roman" w:cstheme="minorHAnsi"/>
        </w:rPr>
        <w:t xml:space="preserve"> has</w:t>
      </w:r>
      <w:r w:rsidR="000322D6" w:rsidRPr="00FE516C">
        <w:rPr>
          <w:rFonts w:eastAsia="Times New Roman" w:cstheme="minorHAnsi"/>
        </w:rPr>
        <w:t xml:space="preserve"> dramatically increased and mortality rate</w:t>
      </w:r>
      <w:r w:rsidR="00183C98" w:rsidRPr="00FE516C">
        <w:rPr>
          <w:rFonts w:eastAsia="Times New Roman" w:cstheme="minorHAnsi"/>
        </w:rPr>
        <w:t>s</w:t>
      </w:r>
      <w:r w:rsidR="000322D6" w:rsidRPr="00FE516C">
        <w:rPr>
          <w:rFonts w:eastAsia="Times New Roman" w:cstheme="minorHAnsi"/>
        </w:rPr>
        <w:t xml:space="preserve"> of children under five </w:t>
      </w:r>
      <w:r w:rsidR="00183C98" w:rsidRPr="00FE516C">
        <w:rPr>
          <w:rFonts w:eastAsia="Times New Roman" w:cstheme="minorHAnsi"/>
        </w:rPr>
        <w:t xml:space="preserve">have </w:t>
      </w:r>
      <w:r w:rsidR="000322D6" w:rsidRPr="00FE516C">
        <w:rPr>
          <w:rFonts w:eastAsia="Times New Roman" w:cstheme="minorHAnsi"/>
        </w:rPr>
        <w:t>more than halved</w:t>
      </w:r>
      <w:r w:rsidR="00AF42DD">
        <w:rPr>
          <w:rFonts w:eastAsia="Times New Roman" w:cstheme="minorHAnsi"/>
        </w:rPr>
        <w:t xml:space="preserve">. </w:t>
      </w:r>
      <w:r w:rsidRPr="00FE516C">
        <w:rPr>
          <w:rFonts w:eastAsia="Times New Roman" w:cstheme="minorHAnsi"/>
        </w:rPr>
        <w:t>T</w:t>
      </w:r>
      <w:r w:rsidR="00183C98" w:rsidRPr="00FE516C">
        <w:rPr>
          <w:rFonts w:eastAsia="Times New Roman" w:cstheme="minorHAnsi"/>
        </w:rPr>
        <w:t xml:space="preserve">his </w:t>
      </w:r>
      <w:r w:rsidR="00527FB9">
        <w:rPr>
          <w:rFonts w:eastAsia="Times New Roman" w:cstheme="minorHAnsi"/>
        </w:rPr>
        <w:t>has been</w:t>
      </w:r>
      <w:r w:rsidR="00183C98" w:rsidRPr="00FE516C">
        <w:rPr>
          <w:rFonts w:eastAsia="Times New Roman" w:cstheme="minorHAnsi"/>
        </w:rPr>
        <w:t xml:space="preserve"> </w:t>
      </w:r>
      <w:r w:rsidR="00243DF8" w:rsidRPr="00FE516C">
        <w:rPr>
          <w:rFonts w:eastAsia="Times New Roman" w:cstheme="minorHAnsi"/>
        </w:rPr>
        <w:t xml:space="preserve">driven by better access to health services </w:t>
      </w:r>
      <w:r w:rsidR="00527FB9">
        <w:rPr>
          <w:rFonts w:eastAsia="Times New Roman" w:cstheme="minorHAnsi"/>
        </w:rPr>
        <w:t>and</w:t>
      </w:r>
      <w:r w:rsidR="00243DF8" w:rsidRPr="00FE516C">
        <w:rPr>
          <w:rFonts w:eastAsia="Times New Roman" w:cstheme="minorHAnsi"/>
        </w:rPr>
        <w:t xml:space="preserve"> improved health service delivery</w:t>
      </w:r>
      <w:r w:rsidR="001C71D7">
        <w:rPr>
          <w:rFonts w:eastAsia="Times New Roman" w:cstheme="minorHAnsi"/>
        </w:rPr>
        <w:t>;</w:t>
      </w:r>
      <w:r w:rsidR="00243DF8" w:rsidRPr="00FE516C">
        <w:rPr>
          <w:rFonts w:eastAsia="Times New Roman" w:cstheme="minorHAnsi"/>
        </w:rPr>
        <w:t xml:space="preserve"> and</w:t>
      </w:r>
      <w:r w:rsidR="00A71072" w:rsidRPr="00FE516C">
        <w:rPr>
          <w:rFonts w:eastAsia="Times New Roman" w:cstheme="minorHAnsi"/>
        </w:rPr>
        <w:t xml:space="preserve"> </w:t>
      </w:r>
      <w:proofErr w:type="gramStart"/>
      <w:r w:rsidR="00AF42DD">
        <w:rPr>
          <w:rFonts w:eastAsia="Times New Roman" w:cstheme="minorHAnsi"/>
        </w:rPr>
        <w:t>also</w:t>
      </w:r>
      <w:proofErr w:type="gramEnd"/>
      <w:r w:rsidR="00AF42DD">
        <w:rPr>
          <w:rFonts w:eastAsia="Times New Roman" w:cstheme="minorHAnsi"/>
        </w:rPr>
        <w:t xml:space="preserve"> by </w:t>
      </w:r>
      <w:r w:rsidR="00EC6D58" w:rsidRPr="00FE516C">
        <w:rPr>
          <w:rFonts w:eastAsia="Times New Roman" w:cstheme="minorHAnsi"/>
        </w:rPr>
        <w:t>improvement</w:t>
      </w:r>
      <w:r w:rsidR="00AF42DD">
        <w:rPr>
          <w:rFonts w:eastAsia="Times New Roman" w:cstheme="minorHAnsi"/>
        </w:rPr>
        <w:t>s</w:t>
      </w:r>
      <w:r w:rsidR="00EC6D58" w:rsidRPr="00FE516C">
        <w:rPr>
          <w:rFonts w:eastAsia="Times New Roman" w:cstheme="minorHAnsi"/>
        </w:rPr>
        <w:t xml:space="preserve"> in </w:t>
      </w:r>
      <w:r w:rsidR="00243DF8" w:rsidRPr="00FE516C">
        <w:rPr>
          <w:rFonts w:eastAsia="Times New Roman" w:cstheme="minorHAnsi"/>
        </w:rPr>
        <w:t xml:space="preserve">other sectors </w:t>
      </w:r>
      <w:r w:rsidR="00AF42DD">
        <w:rPr>
          <w:rFonts w:eastAsia="Times New Roman" w:cstheme="minorHAnsi"/>
        </w:rPr>
        <w:t xml:space="preserve">such as </w:t>
      </w:r>
      <w:r w:rsidR="001C71D7">
        <w:rPr>
          <w:rFonts w:eastAsia="Times New Roman" w:cstheme="minorHAnsi"/>
        </w:rPr>
        <w:t xml:space="preserve">economic development, </w:t>
      </w:r>
      <w:r w:rsidR="00527FB9">
        <w:rPr>
          <w:rFonts w:eastAsia="Times New Roman" w:cstheme="minorHAnsi"/>
        </w:rPr>
        <w:t>e</w:t>
      </w:r>
      <w:r w:rsidR="00243DF8" w:rsidRPr="00FE516C">
        <w:rPr>
          <w:rFonts w:eastAsia="Times New Roman" w:cstheme="minorHAnsi"/>
        </w:rPr>
        <w:t xml:space="preserve">ducation, </w:t>
      </w:r>
      <w:r w:rsidR="00527FB9">
        <w:rPr>
          <w:rFonts w:eastAsia="Times New Roman" w:cstheme="minorHAnsi"/>
        </w:rPr>
        <w:t>social protection, w</w:t>
      </w:r>
      <w:r w:rsidR="00243DF8" w:rsidRPr="00FE516C">
        <w:rPr>
          <w:rFonts w:eastAsia="Times New Roman" w:cstheme="minorHAnsi"/>
        </w:rPr>
        <w:t>at</w:t>
      </w:r>
      <w:r w:rsidR="000008B0" w:rsidRPr="00FE516C">
        <w:rPr>
          <w:rFonts w:eastAsia="Times New Roman" w:cstheme="minorHAnsi"/>
        </w:rPr>
        <w:t xml:space="preserve">er </w:t>
      </w:r>
      <w:r w:rsidR="00527FB9">
        <w:rPr>
          <w:rFonts w:eastAsia="Times New Roman" w:cstheme="minorHAnsi"/>
        </w:rPr>
        <w:t>and</w:t>
      </w:r>
      <w:r w:rsidR="000008B0" w:rsidRPr="00FE516C">
        <w:rPr>
          <w:rFonts w:eastAsia="Times New Roman" w:cstheme="minorHAnsi"/>
        </w:rPr>
        <w:t xml:space="preserve"> </w:t>
      </w:r>
      <w:r w:rsidR="00527FB9">
        <w:rPr>
          <w:rFonts w:eastAsia="Times New Roman" w:cstheme="minorHAnsi"/>
        </w:rPr>
        <w:t>s</w:t>
      </w:r>
      <w:r w:rsidR="00243DF8" w:rsidRPr="00FE516C">
        <w:rPr>
          <w:rFonts w:eastAsia="Times New Roman" w:cstheme="minorHAnsi"/>
        </w:rPr>
        <w:t>an</w:t>
      </w:r>
      <w:r w:rsidR="000008B0" w:rsidRPr="00FE516C">
        <w:rPr>
          <w:rFonts w:eastAsia="Times New Roman" w:cstheme="minorHAnsi"/>
        </w:rPr>
        <w:t>itation</w:t>
      </w:r>
      <w:r w:rsidR="00AF42DD">
        <w:rPr>
          <w:rFonts w:eastAsia="Times New Roman" w:cstheme="minorHAnsi"/>
        </w:rPr>
        <w:t>.</w:t>
      </w:r>
      <w:r w:rsidR="00527FB9">
        <w:rPr>
          <w:rFonts w:eastAsia="Times New Roman" w:cstheme="minorHAnsi"/>
        </w:rPr>
        <w:t xml:space="preserve"> Partnerships have been central to this progress</w:t>
      </w:r>
      <w:r w:rsidR="001C71D7">
        <w:rPr>
          <w:rFonts w:eastAsia="Times New Roman" w:cstheme="minorHAnsi"/>
        </w:rPr>
        <w:t xml:space="preserve"> – aligning old and new actors behind shared goals, strong political leadership, increased resources, better delivery and a sustained drive for results</w:t>
      </w:r>
      <w:r w:rsidR="00527FB9">
        <w:rPr>
          <w:rFonts w:eastAsia="Times New Roman" w:cstheme="minorHAnsi"/>
        </w:rPr>
        <w:t>.</w:t>
      </w:r>
    </w:p>
    <w:p w14:paraId="6E7DA98E" w14:textId="6AACBF22" w:rsidR="000322D6" w:rsidRPr="00FE516C" w:rsidRDefault="00243DF8" w:rsidP="00AF42DD">
      <w:pPr>
        <w:contextualSpacing/>
        <w:jc w:val="both"/>
        <w:rPr>
          <w:rFonts w:eastAsia="Times New Roman" w:cstheme="minorHAnsi"/>
        </w:rPr>
      </w:pPr>
      <w:r w:rsidRPr="00FE516C">
        <w:rPr>
          <w:rFonts w:eastAsia="Times New Roman" w:cstheme="minorHAnsi"/>
        </w:rPr>
        <w:t xml:space="preserve"> </w:t>
      </w:r>
    </w:p>
    <w:p w14:paraId="6DC73CB5" w14:textId="33A597BB" w:rsidR="000663A6" w:rsidRDefault="00260783" w:rsidP="00AF42DD">
      <w:pPr>
        <w:contextualSpacing/>
        <w:jc w:val="both"/>
        <w:rPr>
          <w:rFonts w:eastAsia="Times New Roman" w:cstheme="minorHAnsi"/>
        </w:rPr>
      </w:pPr>
      <w:r w:rsidRPr="00FE516C">
        <w:rPr>
          <w:rFonts w:eastAsia="Times New Roman" w:cstheme="minorHAnsi"/>
        </w:rPr>
        <w:t>Y</w:t>
      </w:r>
      <w:r w:rsidR="006B36A1" w:rsidRPr="00FE516C">
        <w:rPr>
          <w:rFonts w:eastAsia="Times New Roman" w:cstheme="minorHAnsi"/>
        </w:rPr>
        <w:t xml:space="preserve">et </w:t>
      </w:r>
      <w:r w:rsidR="00AF42DD">
        <w:rPr>
          <w:rFonts w:eastAsia="Times New Roman" w:cstheme="minorHAnsi"/>
        </w:rPr>
        <w:t>there are</w:t>
      </w:r>
      <w:r w:rsidR="00EC6D58" w:rsidRPr="00FE516C">
        <w:rPr>
          <w:rFonts w:eastAsia="Times New Roman" w:cstheme="minorHAnsi"/>
        </w:rPr>
        <w:t xml:space="preserve"> </w:t>
      </w:r>
      <w:r w:rsidR="00607914" w:rsidRPr="00FE516C">
        <w:rPr>
          <w:rFonts w:eastAsia="Times New Roman" w:cstheme="minorHAnsi"/>
        </w:rPr>
        <w:t xml:space="preserve">very large inequities in health coverage </w:t>
      </w:r>
      <w:r w:rsidR="00AF42DD">
        <w:rPr>
          <w:rFonts w:eastAsia="Times New Roman" w:cstheme="minorHAnsi"/>
        </w:rPr>
        <w:t>and</w:t>
      </w:r>
      <w:r w:rsidR="00607914" w:rsidRPr="00FE516C">
        <w:rPr>
          <w:rFonts w:eastAsia="Times New Roman" w:cstheme="minorHAnsi"/>
        </w:rPr>
        <w:t xml:space="preserve"> outcomes, and a growing double burden </w:t>
      </w:r>
      <w:r w:rsidR="00243DF8" w:rsidRPr="00FE516C">
        <w:rPr>
          <w:rFonts w:eastAsia="Times New Roman" w:cstheme="minorHAnsi"/>
        </w:rPr>
        <w:t>of ill-health</w:t>
      </w:r>
      <w:r w:rsidR="00AF42DD">
        <w:rPr>
          <w:rFonts w:eastAsia="Times New Roman" w:cstheme="minorHAnsi"/>
        </w:rPr>
        <w:t>:</w:t>
      </w:r>
      <w:r w:rsidR="00243DF8" w:rsidRPr="00FE516C">
        <w:rPr>
          <w:rFonts w:eastAsia="Times New Roman" w:cstheme="minorHAnsi"/>
        </w:rPr>
        <w:t xml:space="preserve"> </w:t>
      </w:r>
      <w:r w:rsidR="00AF42DD">
        <w:rPr>
          <w:rFonts w:eastAsia="Times New Roman" w:cstheme="minorHAnsi"/>
        </w:rPr>
        <w:t>not only communicable</w:t>
      </w:r>
      <w:r w:rsidR="00607914" w:rsidRPr="00FE516C">
        <w:rPr>
          <w:rFonts w:eastAsia="Times New Roman" w:cstheme="minorHAnsi"/>
        </w:rPr>
        <w:t xml:space="preserve"> diseases</w:t>
      </w:r>
      <w:r w:rsidR="001C71D7">
        <w:rPr>
          <w:rFonts w:eastAsia="Times New Roman" w:cstheme="minorHAnsi"/>
        </w:rPr>
        <w:t>,</w:t>
      </w:r>
      <w:r w:rsidR="00607914" w:rsidRPr="00FE516C">
        <w:rPr>
          <w:rFonts w:eastAsia="Times New Roman" w:cstheme="minorHAnsi"/>
        </w:rPr>
        <w:t xml:space="preserve"> </w:t>
      </w:r>
      <w:r w:rsidR="00AF42DD">
        <w:rPr>
          <w:rFonts w:eastAsia="Times New Roman" w:cstheme="minorHAnsi"/>
        </w:rPr>
        <w:t>but also non-communicable diseases</w:t>
      </w:r>
      <w:r w:rsidR="00713246">
        <w:rPr>
          <w:rFonts w:eastAsia="Times New Roman" w:cstheme="minorHAnsi"/>
        </w:rPr>
        <w:t xml:space="preserve"> (NCDs)</w:t>
      </w:r>
      <w:r w:rsidR="00607914" w:rsidRPr="00FE516C">
        <w:rPr>
          <w:rFonts w:eastAsia="Times New Roman" w:cstheme="minorHAnsi"/>
        </w:rPr>
        <w:t>, injuries</w:t>
      </w:r>
      <w:r w:rsidR="001C71D7">
        <w:rPr>
          <w:rFonts w:eastAsia="Times New Roman" w:cstheme="minorHAnsi"/>
        </w:rPr>
        <w:t>, violence</w:t>
      </w:r>
      <w:r w:rsidR="00AF42DD">
        <w:rPr>
          <w:rFonts w:eastAsia="Times New Roman" w:cstheme="minorHAnsi"/>
        </w:rPr>
        <w:t xml:space="preserve"> and</w:t>
      </w:r>
      <w:r w:rsidR="00607914" w:rsidRPr="00FE516C">
        <w:rPr>
          <w:rFonts w:eastAsia="Times New Roman" w:cstheme="minorHAnsi"/>
        </w:rPr>
        <w:t xml:space="preserve"> mental health</w:t>
      </w:r>
      <w:r w:rsidR="00AF42DD">
        <w:rPr>
          <w:rFonts w:eastAsia="Times New Roman" w:cstheme="minorHAnsi"/>
        </w:rPr>
        <w:t>.</w:t>
      </w:r>
      <w:r w:rsidR="006374FA">
        <w:rPr>
          <w:rFonts w:eastAsia="Times New Roman" w:cstheme="minorHAnsi"/>
        </w:rPr>
        <w:t xml:space="preserve"> </w:t>
      </w:r>
      <w:r w:rsidR="001C71D7">
        <w:rPr>
          <w:rFonts w:eastAsia="Times New Roman" w:cstheme="minorHAnsi"/>
        </w:rPr>
        <w:t>In some areas,</w:t>
      </w:r>
      <w:r w:rsidR="00183C98" w:rsidRPr="00FE516C">
        <w:rPr>
          <w:rFonts w:eastAsia="Times New Roman" w:cstheme="minorHAnsi"/>
        </w:rPr>
        <w:t xml:space="preserve"> the global health response is clearly inadequate</w:t>
      </w:r>
      <w:r w:rsidR="002C6807">
        <w:rPr>
          <w:rFonts w:eastAsia="Times New Roman" w:cstheme="minorHAnsi"/>
        </w:rPr>
        <w:t>, and will be further comp</w:t>
      </w:r>
      <w:r w:rsidR="00B15F00">
        <w:rPr>
          <w:rFonts w:eastAsia="Times New Roman" w:cstheme="minorHAnsi"/>
        </w:rPr>
        <w:t>o</w:t>
      </w:r>
      <w:r w:rsidR="002C6807">
        <w:rPr>
          <w:rFonts w:eastAsia="Times New Roman" w:cstheme="minorHAnsi"/>
        </w:rPr>
        <w:t>un</w:t>
      </w:r>
      <w:r w:rsidR="00B15F00">
        <w:rPr>
          <w:rFonts w:eastAsia="Times New Roman" w:cstheme="minorHAnsi"/>
        </w:rPr>
        <w:t>d</w:t>
      </w:r>
      <w:r w:rsidR="002C6807">
        <w:rPr>
          <w:rFonts w:eastAsia="Times New Roman" w:cstheme="minorHAnsi"/>
        </w:rPr>
        <w:t xml:space="preserve">ed by the impact of </w:t>
      </w:r>
      <w:r w:rsidR="00896724">
        <w:rPr>
          <w:rFonts w:eastAsia="Times New Roman" w:cstheme="minorHAnsi"/>
        </w:rPr>
        <w:t>COVID-19</w:t>
      </w:r>
      <w:r w:rsidR="006374FA">
        <w:rPr>
          <w:rFonts w:eastAsia="Times New Roman" w:cstheme="minorHAnsi"/>
        </w:rPr>
        <w:t>. Th</w:t>
      </w:r>
      <w:r w:rsidR="002C6807">
        <w:rPr>
          <w:rFonts w:eastAsia="Times New Roman" w:cstheme="minorHAnsi"/>
        </w:rPr>
        <w:t>ese areas</w:t>
      </w:r>
      <w:r w:rsidR="006374FA">
        <w:rPr>
          <w:rFonts w:eastAsia="Times New Roman" w:cstheme="minorHAnsi"/>
        </w:rPr>
        <w:t xml:space="preserve"> include:</w:t>
      </w:r>
    </w:p>
    <w:p w14:paraId="20A92A79" w14:textId="77777777" w:rsidR="002A7B71" w:rsidRDefault="002A7B71" w:rsidP="00AF42DD">
      <w:pPr>
        <w:contextualSpacing/>
        <w:jc w:val="both"/>
        <w:rPr>
          <w:rFonts w:eastAsia="Times New Roman" w:cstheme="minorHAnsi"/>
        </w:rPr>
      </w:pPr>
    </w:p>
    <w:p w14:paraId="032761E4" w14:textId="14CF1EEE" w:rsidR="000663A6" w:rsidRDefault="006374FA" w:rsidP="000663A6">
      <w:pPr>
        <w:pStyle w:val="ListParagraph"/>
        <w:numPr>
          <w:ilvl w:val="0"/>
          <w:numId w:val="29"/>
        </w:numPr>
        <w:jc w:val="both"/>
        <w:rPr>
          <w:rFonts w:eastAsia="Times New Roman" w:cstheme="minorHAnsi"/>
        </w:rPr>
      </w:pPr>
      <w:r w:rsidRPr="000663A6">
        <w:rPr>
          <w:rFonts w:eastAsia="Times New Roman" w:cstheme="minorHAnsi"/>
        </w:rPr>
        <w:t xml:space="preserve">the ‘unfinished </w:t>
      </w:r>
      <w:proofErr w:type="gramStart"/>
      <w:r w:rsidRPr="000663A6">
        <w:rPr>
          <w:rFonts w:eastAsia="Times New Roman" w:cstheme="minorHAnsi"/>
        </w:rPr>
        <w:t>business’</w:t>
      </w:r>
      <w:proofErr w:type="gramEnd"/>
      <w:r w:rsidRPr="000663A6">
        <w:rPr>
          <w:rFonts w:eastAsia="Times New Roman" w:cstheme="minorHAnsi"/>
        </w:rPr>
        <w:t xml:space="preserve"> of the Millennium Development Goals</w:t>
      </w:r>
      <w:r w:rsidR="000663A6" w:rsidRPr="000663A6">
        <w:rPr>
          <w:rFonts w:eastAsia="Times New Roman" w:cstheme="minorHAnsi"/>
        </w:rPr>
        <w:t xml:space="preserve"> (MDGs)</w:t>
      </w:r>
      <w:r w:rsidRPr="000663A6">
        <w:rPr>
          <w:rFonts w:eastAsia="Times New Roman" w:cstheme="minorHAnsi"/>
        </w:rPr>
        <w:t xml:space="preserve"> – </w:t>
      </w:r>
      <w:r w:rsidRPr="00CE3269">
        <w:rPr>
          <w:rFonts w:eastAsia="Times New Roman" w:cstheme="minorHAnsi"/>
          <w:b/>
        </w:rPr>
        <w:t xml:space="preserve">amenable </w:t>
      </w:r>
      <w:r w:rsidR="00031B2E">
        <w:rPr>
          <w:rFonts w:eastAsia="Times New Roman" w:cstheme="minorHAnsi"/>
          <w:b/>
        </w:rPr>
        <w:t>M</w:t>
      </w:r>
      <w:r w:rsidRPr="00CE3269">
        <w:rPr>
          <w:rFonts w:eastAsia="Times New Roman" w:cstheme="minorHAnsi"/>
          <w:b/>
        </w:rPr>
        <w:t>aternal</w:t>
      </w:r>
      <w:r w:rsidR="00B3716C" w:rsidRPr="00CE3269">
        <w:rPr>
          <w:rFonts w:eastAsia="Times New Roman" w:cstheme="minorHAnsi"/>
          <w:b/>
        </w:rPr>
        <w:t xml:space="preserve"> </w:t>
      </w:r>
      <w:r w:rsidRPr="00CE3269">
        <w:rPr>
          <w:rFonts w:eastAsia="Times New Roman" w:cstheme="minorHAnsi"/>
          <w:b/>
        </w:rPr>
        <w:t xml:space="preserve">and </w:t>
      </w:r>
      <w:r w:rsidR="00031B2E">
        <w:rPr>
          <w:rFonts w:eastAsia="Times New Roman" w:cstheme="minorHAnsi"/>
          <w:b/>
        </w:rPr>
        <w:t>C</w:t>
      </w:r>
      <w:r w:rsidRPr="00CE3269">
        <w:rPr>
          <w:rFonts w:eastAsia="Times New Roman" w:cstheme="minorHAnsi"/>
          <w:b/>
        </w:rPr>
        <w:t xml:space="preserve">hild </w:t>
      </w:r>
      <w:r w:rsidR="00031B2E">
        <w:rPr>
          <w:rFonts w:eastAsia="Times New Roman" w:cstheme="minorHAnsi"/>
          <w:b/>
        </w:rPr>
        <w:t>M</w:t>
      </w:r>
      <w:r w:rsidR="00B3716C" w:rsidRPr="00CE3269">
        <w:rPr>
          <w:rFonts w:eastAsia="Times New Roman" w:cstheme="minorHAnsi"/>
          <w:b/>
        </w:rPr>
        <w:t>ortality</w:t>
      </w:r>
      <w:r w:rsidRPr="00CE3269">
        <w:rPr>
          <w:rFonts w:eastAsia="Times New Roman" w:cstheme="minorHAnsi"/>
          <w:b/>
        </w:rPr>
        <w:t xml:space="preserve">, including </w:t>
      </w:r>
      <w:proofErr w:type="spellStart"/>
      <w:r w:rsidR="00031B2E">
        <w:rPr>
          <w:rFonts w:eastAsia="Times New Roman" w:cstheme="minorHAnsi"/>
          <w:b/>
        </w:rPr>
        <w:t>N</w:t>
      </w:r>
      <w:r w:rsidRPr="00CE3269">
        <w:rPr>
          <w:rFonts w:eastAsia="Times New Roman" w:cstheme="minorHAnsi"/>
          <w:b/>
        </w:rPr>
        <w:t>ewborn</w:t>
      </w:r>
      <w:proofErr w:type="spellEnd"/>
      <w:r w:rsidRPr="00CE3269">
        <w:rPr>
          <w:rFonts w:eastAsia="Times New Roman" w:cstheme="minorHAnsi"/>
          <w:b/>
        </w:rPr>
        <w:t xml:space="preserve"> deaths and </w:t>
      </w:r>
      <w:r w:rsidR="00031B2E">
        <w:rPr>
          <w:rFonts w:eastAsia="Times New Roman" w:cstheme="minorHAnsi"/>
          <w:b/>
        </w:rPr>
        <w:t>S</w:t>
      </w:r>
      <w:r w:rsidRPr="00CE3269">
        <w:rPr>
          <w:rFonts w:eastAsia="Times New Roman" w:cstheme="minorHAnsi"/>
          <w:b/>
        </w:rPr>
        <w:t>tillbirths</w:t>
      </w:r>
      <w:r w:rsidRPr="000663A6">
        <w:rPr>
          <w:rFonts w:eastAsia="Times New Roman" w:cstheme="minorHAnsi"/>
        </w:rPr>
        <w:t xml:space="preserve"> –</w:t>
      </w:r>
      <w:r w:rsidR="00B3716C" w:rsidRPr="000663A6">
        <w:rPr>
          <w:rFonts w:eastAsia="Times New Roman" w:cstheme="minorHAnsi"/>
        </w:rPr>
        <w:t xml:space="preserve"> </w:t>
      </w:r>
      <w:r w:rsidR="000663A6" w:rsidRPr="000663A6">
        <w:rPr>
          <w:rFonts w:eastAsia="Times New Roman" w:cstheme="minorHAnsi"/>
        </w:rPr>
        <w:t xml:space="preserve">particularly </w:t>
      </w:r>
      <w:r w:rsidR="00607914" w:rsidRPr="000663A6">
        <w:rPr>
          <w:rFonts w:eastAsia="Times New Roman" w:cstheme="minorHAnsi"/>
        </w:rPr>
        <w:t xml:space="preserve">in </w:t>
      </w:r>
      <w:r w:rsidR="00B3716C" w:rsidRPr="000663A6">
        <w:rPr>
          <w:rFonts w:eastAsia="Times New Roman" w:cstheme="minorHAnsi"/>
        </w:rPr>
        <w:t>sub-Saharan Africa</w:t>
      </w:r>
      <w:r w:rsidR="00607914" w:rsidRPr="000663A6">
        <w:rPr>
          <w:rFonts w:eastAsia="Times New Roman" w:cstheme="minorHAnsi"/>
        </w:rPr>
        <w:t xml:space="preserve">, </w:t>
      </w:r>
      <w:r w:rsidR="00B3716C" w:rsidRPr="000663A6">
        <w:rPr>
          <w:rFonts w:eastAsia="Times New Roman" w:cstheme="minorHAnsi"/>
        </w:rPr>
        <w:t>South Asia</w:t>
      </w:r>
      <w:r w:rsidR="001C71D7" w:rsidRPr="000663A6">
        <w:rPr>
          <w:rFonts w:eastAsia="Times New Roman" w:cstheme="minorHAnsi"/>
        </w:rPr>
        <w:t xml:space="preserve"> and almost everywhere in humanitarian and fragile settings;</w:t>
      </w:r>
    </w:p>
    <w:p w14:paraId="68E24210" w14:textId="77777777" w:rsidR="002A7B71" w:rsidRDefault="002A7B71" w:rsidP="002A7B71">
      <w:pPr>
        <w:pStyle w:val="ListParagraph"/>
        <w:jc w:val="both"/>
        <w:rPr>
          <w:rFonts w:eastAsia="Times New Roman" w:cstheme="minorHAnsi"/>
        </w:rPr>
      </w:pPr>
    </w:p>
    <w:p w14:paraId="29E8A086" w14:textId="4B0D4318" w:rsidR="000663A6" w:rsidRDefault="00CE3269" w:rsidP="000663A6">
      <w:pPr>
        <w:pStyle w:val="ListParagraph"/>
        <w:numPr>
          <w:ilvl w:val="0"/>
          <w:numId w:val="29"/>
        </w:numPr>
        <w:jc w:val="both"/>
        <w:rPr>
          <w:rFonts w:eastAsia="Times New Roman" w:cstheme="minorHAnsi"/>
        </w:rPr>
      </w:pPr>
      <w:r>
        <w:rPr>
          <w:rFonts w:eastAsia="Times New Roman" w:cstheme="minorHAnsi"/>
        </w:rPr>
        <w:t xml:space="preserve">orchestrated political challenges to </w:t>
      </w:r>
      <w:r w:rsidR="006374FA" w:rsidRPr="00CE3269">
        <w:rPr>
          <w:rFonts w:eastAsia="Times New Roman" w:cstheme="minorHAnsi"/>
          <w:b/>
        </w:rPr>
        <w:t xml:space="preserve">Sexual </w:t>
      </w:r>
      <w:r w:rsidR="001C71D7" w:rsidRPr="00CE3269">
        <w:rPr>
          <w:rFonts w:eastAsia="Times New Roman" w:cstheme="minorHAnsi"/>
          <w:b/>
        </w:rPr>
        <w:t>and</w:t>
      </w:r>
      <w:r w:rsidR="006374FA" w:rsidRPr="00CE3269">
        <w:rPr>
          <w:rFonts w:eastAsia="Times New Roman" w:cstheme="minorHAnsi"/>
          <w:b/>
        </w:rPr>
        <w:t xml:space="preserve"> Reproductive Health &amp; Rights</w:t>
      </w:r>
      <w:r w:rsidR="006374FA" w:rsidRPr="000663A6">
        <w:rPr>
          <w:rFonts w:eastAsia="Times New Roman" w:cstheme="minorHAnsi"/>
        </w:rPr>
        <w:t xml:space="preserve"> (SRHR)</w:t>
      </w:r>
      <w:r>
        <w:rPr>
          <w:rFonts w:eastAsia="Times New Roman" w:cstheme="minorHAnsi"/>
        </w:rPr>
        <w:t>;</w:t>
      </w:r>
    </w:p>
    <w:p w14:paraId="14083A39" w14:textId="77777777" w:rsidR="002A7B71" w:rsidRPr="002A7B71" w:rsidRDefault="002A7B71" w:rsidP="002A7B71">
      <w:pPr>
        <w:pStyle w:val="ListParagraph"/>
        <w:rPr>
          <w:rFonts w:eastAsia="Times New Roman" w:cstheme="minorHAnsi"/>
        </w:rPr>
      </w:pPr>
    </w:p>
    <w:p w14:paraId="7454D548" w14:textId="0BC908FB" w:rsidR="000663A6" w:rsidRDefault="006374FA" w:rsidP="000663A6">
      <w:pPr>
        <w:pStyle w:val="ListParagraph"/>
        <w:numPr>
          <w:ilvl w:val="0"/>
          <w:numId w:val="29"/>
        </w:numPr>
        <w:jc w:val="both"/>
        <w:rPr>
          <w:rFonts w:eastAsia="Times New Roman" w:cstheme="minorHAnsi"/>
        </w:rPr>
      </w:pPr>
      <w:r w:rsidRPr="000663A6">
        <w:rPr>
          <w:rFonts w:eastAsia="Times New Roman" w:cstheme="minorHAnsi"/>
        </w:rPr>
        <w:t xml:space="preserve">a growing and largely unaddressed burden relating to </w:t>
      </w:r>
      <w:r w:rsidR="001669A4" w:rsidRPr="00CE3269">
        <w:rPr>
          <w:rFonts w:eastAsia="Times New Roman" w:cstheme="minorHAnsi"/>
          <w:b/>
        </w:rPr>
        <w:t>A</w:t>
      </w:r>
      <w:r w:rsidR="006B36A1" w:rsidRPr="00CE3269">
        <w:rPr>
          <w:rFonts w:eastAsia="Times New Roman" w:cstheme="minorHAnsi"/>
          <w:b/>
        </w:rPr>
        <w:t xml:space="preserve">dolescent </w:t>
      </w:r>
      <w:r w:rsidR="001669A4" w:rsidRPr="00CE3269">
        <w:rPr>
          <w:rFonts w:eastAsia="Times New Roman" w:cstheme="minorHAnsi"/>
          <w:b/>
        </w:rPr>
        <w:t>H</w:t>
      </w:r>
      <w:r w:rsidR="006B36A1" w:rsidRPr="00CE3269">
        <w:rPr>
          <w:rFonts w:eastAsia="Times New Roman" w:cstheme="minorHAnsi"/>
          <w:b/>
        </w:rPr>
        <w:t xml:space="preserve">ealth and </w:t>
      </w:r>
      <w:r w:rsidR="001669A4" w:rsidRPr="00CE3269">
        <w:rPr>
          <w:rFonts w:eastAsia="Times New Roman" w:cstheme="minorHAnsi"/>
          <w:b/>
        </w:rPr>
        <w:t>W</w:t>
      </w:r>
      <w:r w:rsidR="006B36A1" w:rsidRPr="00CE3269">
        <w:rPr>
          <w:rFonts w:eastAsia="Times New Roman" w:cstheme="minorHAnsi"/>
          <w:b/>
        </w:rPr>
        <w:t>ell-being</w:t>
      </w:r>
      <w:r w:rsidRPr="000663A6">
        <w:rPr>
          <w:rFonts w:eastAsia="Times New Roman" w:cstheme="minorHAnsi"/>
        </w:rPr>
        <w:t>.</w:t>
      </w:r>
    </w:p>
    <w:p w14:paraId="1A37441C" w14:textId="77777777" w:rsidR="002A7B71" w:rsidRPr="002A7B71" w:rsidRDefault="002A7B71" w:rsidP="002A7B71">
      <w:pPr>
        <w:pStyle w:val="ListParagraph"/>
        <w:rPr>
          <w:rFonts w:eastAsia="Times New Roman" w:cstheme="minorHAnsi"/>
        </w:rPr>
      </w:pPr>
    </w:p>
    <w:p w14:paraId="2692816E" w14:textId="2BD5BDDB" w:rsidR="00607914" w:rsidRPr="000663A6" w:rsidRDefault="00527FB9" w:rsidP="000663A6">
      <w:pPr>
        <w:jc w:val="both"/>
        <w:rPr>
          <w:rFonts w:eastAsia="Times New Roman" w:cstheme="minorHAnsi"/>
        </w:rPr>
      </w:pPr>
      <w:r w:rsidRPr="000663A6">
        <w:rPr>
          <w:rFonts w:eastAsia="Times New Roman" w:cstheme="minorHAnsi"/>
        </w:rPr>
        <w:t>It is these three challenges in particular that will frame PMNCH’s engagement over the coming years.</w:t>
      </w:r>
    </w:p>
    <w:p w14:paraId="05414010" w14:textId="77777777" w:rsidR="00DD61A8" w:rsidRDefault="00DD61A8" w:rsidP="00DD61A8">
      <w:pPr>
        <w:pStyle w:val="ListParagraph"/>
        <w:ind w:left="0"/>
        <w:jc w:val="both"/>
        <w:rPr>
          <w:rFonts w:cstheme="minorHAnsi"/>
        </w:rPr>
      </w:pPr>
    </w:p>
    <w:p w14:paraId="33435C23" w14:textId="77777777" w:rsidR="00DD61A8" w:rsidRPr="00A95BB4" w:rsidRDefault="00DD61A8" w:rsidP="00DD61A8">
      <w:pPr>
        <w:pStyle w:val="ListParagraph"/>
        <w:ind w:left="0"/>
        <w:jc w:val="both"/>
        <w:rPr>
          <w:rFonts w:cstheme="minorHAnsi"/>
        </w:rPr>
      </w:pPr>
      <w:r w:rsidRPr="00A95BB4">
        <w:rPr>
          <w:rFonts w:cstheme="minorHAnsi"/>
          <w:noProof/>
        </w:rPr>
        <mc:AlternateContent>
          <mc:Choice Requires="wps">
            <w:drawing>
              <wp:inline distT="0" distB="0" distL="0" distR="0" wp14:anchorId="3A3278A4" wp14:editId="3D4B01D2">
                <wp:extent cx="5692140" cy="1404620"/>
                <wp:effectExtent l="0" t="0" r="22860" b="2667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chemeClr val="accent5">
                            <a:lumMod val="20000"/>
                            <a:lumOff val="80000"/>
                          </a:schemeClr>
                        </a:solidFill>
                        <a:ln w="9525">
                          <a:solidFill>
                            <a:srgbClr val="000000"/>
                          </a:solidFill>
                          <a:miter lim="800000"/>
                          <a:headEnd/>
                          <a:tailEnd/>
                        </a:ln>
                      </wps:spPr>
                      <wps:txbx>
                        <w:txbxContent>
                          <w:p w14:paraId="1A29C715" w14:textId="1DAF778F" w:rsidR="00B15F00" w:rsidRPr="00A95BB4" w:rsidRDefault="00B15F00" w:rsidP="00DD61A8">
                            <w:pPr>
                              <w:pStyle w:val="ListParagraph"/>
                              <w:ind w:left="0"/>
                              <w:jc w:val="center"/>
                              <w:rPr>
                                <w:rFonts w:cstheme="minorHAnsi"/>
                                <w:b/>
                                <w:bCs/>
                                <w:sz w:val="20"/>
                                <w:szCs w:val="20"/>
                              </w:rPr>
                            </w:pPr>
                            <w:r w:rsidRPr="00A95BB4">
                              <w:rPr>
                                <w:rFonts w:cstheme="minorHAnsi"/>
                                <w:b/>
                                <w:bCs/>
                                <w:sz w:val="20"/>
                                <w:szCs w:val="20"/>
                              </w:rPr>
                              <w:t>Challenges in MNCH, SRHR &amp; Adolescents</w:t>
                            </w:r>
                          </w:p>
                          <w:p w14:paraId="789F209A" w14:textId="68A2BCB9" w:rsidR="00B15F00" w:rsidRPr="00A95BB4" w:rsidRDefault="00B15F00" w:rsidP="00DD61A8">
                            <w:pPr>
                              <w:pStyle w:val="ListParagraph"/>
                              <w:numPr>
                                <w:ilvl w:val="0"/>
                                <w:numId w:val="12"/>
                              </w:numPr>
                              <w:ind w:left="284" w:hanging="284"/>
                              <w:jc w:val="both"/>
                              <w:rPr>
                                <w:sz w:val="20"/>
                                <w:szCs w:val="20"/>
                              </w:rPr>
                            </w:pPr>
                            <w:r w:rsidRPr="00A95BB4">
                              <w:rPr>
                                <w:rFonts w:cs="Cera PRO"/>
                                <w:color w:val="000000"/>
                                <w:sz w:val="20"/>
                                <w:szCs w:val="20"/>
                              </w:rPr>
                              <w:t xml:space="preserve">the </w:t>
                            </w:r>
                            <w:r w:rsidRPr="00A95BB4">
                              <w:rPr>
                                <w:rFonts w:cs="Cera PRO"/>
                                <w:b/>
                                <w:bCs/>
                                <w:color w:val="000000"/>
                                <w:sz w:val="20"/>
                                <w:szCs w:val="20"/>
                              </w:rPr>
                              <w:t>Maternal Mortality Rate</w:t>
                            </w:r>
                            <w:r w:rsidRPr="00A95BB4">
                              <w:rPr>
                                <w:rFonts w:cs="Cera PRO"/>
                                <w:color w:val="000000"/>
                                <w:sz w:val="20"/>
                                <w:szCs w:val="20"/>
                              </w:rPr>
                              <w:t xml:space="preserve"> </w:t>
                            </w:r>
                            <w:r w:rsidRPr="00A95BB4">
                              <w:rPr>
                                <w:sz w:val="20"/>
                                <w:szCs w:val="20"/>
                              </w:rPr>
                              <w:t>in least developed countries is more than 40 times higher than in Europe</w:t>
                            </w:r>
                            <w:r w:rsidRPr="00A95BB4">
                              <w:rPr>
                                <w:sz w:val="20"/>
                                <w:szCs w:val="20"/>
                                <w:vertAlign w:val="superscript"/>
                              </w:rPr>
                              <w:footnoteRef/>
                            </w:r>
                            <w:r w:rsidRPr="00A95BB4">
                              <w:rPr>
                                <w:sz w:val="20"/>
                                <w:szCs w:val="20"/>
                              </w:rPr>
                              <w:t>.</w:t>
                            </w:r>
                            <w:r w:rsidRPr="00A95BB4">
                              <w:rPr>
                                <w:rFonts w:cs="Cera PRO"/>
                                <w:color w:val="000000"/>
                                <w:sz w:val="20"/>
                                <w:szCs w:val="20"/>
                              </w:rPr>
                              <w:t xml:space="preserve"> In 2018 it was estimated that almost half of </w:t>
                            </w:r>
                            <w:r w:rsidRPr="00A95BB4">
                              <w:rPr>
                                <w:rFonts w:cs="Cera PRO"/>
                                <w:b/>
                                <w:bCs/>
                                <w:color w:val="000000"/>
                                <w:sz w:val="20"/>
                                <w:szCs w:val="20"/>
                              </w:rPr>
                              <w:t>Under 5 deaths</w:t>
                            </w:r>
                            <w:r w:rsidRPr="00A95BB4">
                              <w:rPr>
                                <w:rFonts w:cs="Cera PRO"/>
                                <w:color w:val="000000"/>
                                <w:sz w:val="20"/>
                                <w:szCs w:val="20"/>
                              </w:rPr>
                              <w:t xml:space="preserve"> were occurring in the neonatal period</w:t>
                            </w:r>
                            <w:r w:rsidRPr="00A95BB4">
                              <w:rPr>
                                <w:rStyle w:val="EndnoteReference"/>
                                <w:rFonts w:cs="Cera PRO"/>
                                <w:color w:val="000000"/>
                                <w:sz w:val="20"/>
                                <w:szCs w:val="20"/>
                              </w:rPr>
                              <w:footnoteRef/>
                            </w:r>
                            <w:r w:rsidRPr="00A95BB4">
                              <w:rPr>
                                <w:rFonts w:cs="Cera PRO"/>
                                <w:color w:val="000000"/>
                                <w:sz w:val="20"/>
                                <w:szCs w:val="20"/>
                              </w:rPr>
                              <w:t xml:space="preserve"> and that only half</w:t>
                            </w:r>
                            <w:r w:rsidRPr="00A95BB4">
                              <w:rPr>
                                <w:sz w:val="20"/>
                                <w:szCs w:val="20"/>
                              </w:rPr>
                              <w:t xml:space="preserve"> of small and sick </w:t>
                            </w:r>
                            <w:proofErr w:type="spellStart"/>
                            <w:r w:rsidRPr="00A95BB4">
                              <w:rPr>
                                <w:sz w:val="20"/>
                                <w:szCs w:val="20"/>
                              </w:rPr>
                              <w:t>newborns</w:t>
                            </w:r>
                            <w:proofErr w:type="spellEnd"/>
                            <w:r w:rsidRPr="00A95BB4">
                              <w:rPr>
                                <w:sz w:val="20"/>
                                <w:szCs w:val="20"/>
                              </w:rPr>
                              <w:t xml:space="preserve"> have access to quality care</w:t>
                            </w:r>
                            <w:r w:rsidRPr="00A95BB4">
                              <w:rPr>
                                <w:rStyle w:val="EndnoteReference"/>
                                <w:sz w:val="20"/>
                                <w:szCs w:val="20"/>
                              </w:rPr>
                              <w:footnoteRef/>
                            </w:r>
                            <w:r w:rsidRPr="00A95BB4">
                              <w:rPr>
                                <w:rFonts w:cs="Cera PRO"/>
                                <w:color w:val="000000"/>
                                <w:sz w:val="20"/>
                                <w:szCs w:val="20"/>
                              </w:rPr>
                              <w:t>.</w:t>
                            </w:r>
                            <w:r w:rsidRPr="00A95BB4">
                              <w:rPr>
                                <w:rFonts w:cstheme="minorHAnsi"/>
                                <w:sz w:val="20"/>
                                <w:szCs w:val="20"/>
                              </w:rPr>
                              <w:t xml:space="preserve"> </w:t>
                            </w:r>
                            <w:r w:rsidRPr="00A95BB4">
                              <w:rPr>
                                <w:rFonts w:cs="Cera PRO"/>
                                <w:color w:val="000000"/>
                                <w:sz w:val="20"/>
                                <w:szCs w:val="20"/>
                              </w:rPr>
                              <w:t>That mothers and children continue to die is the true marker of the inequalities in health systems.</w:t>
                            </w:r>
                          </w:p>
                          <w:p w14:paraId="45326A9C" w14:textId="2BC664B3" w:rsidR="00B15F00" w:rsidRPr="00A95BB4" w:rsidRDefault="00B15F00" w:rsidP="00DD61A8">
                            <w:pPr>
                              <w:pStyle w:val="ListParagraph"/>
                              <w:numPr>
                                <w:ilvl w:val="0"/>
                                <w:numId w:val="12"/>
                              </w:numPr>
                              <w:ind w:left="284" w:hanging="284"/>
                              <w:jc w:val="both"/>
                              <w:rPr>
                                <w:sz w:val="20"/>
                                <w:szCs w:val="20"/>
                              </w:rPr>
                            </w:pPr>
                            <w:r w:rsidRPr="00A95BB4">
                              <w:rPr>
                                <w:rFonts w:cstheme="minorHAnsi"/>
                                <w:sz w:val="20"/>
                                <w:szCs w:val="20"/>
                              </w:rPr>
                              <w:t>As a result of COVID-19, some partners are estim</w:t>
                            </w:r>
                            <w:r>
                              <w:rPr>
                                <w:rFonts w:cstheme="minorHAnsi"/>
                                <w:sz w:val="20"/>
                                <w:szCs w:val="20"/>
                              </w:rPr>
                              <w:t>a</w:t>
                            </w:r>
                            <w:r w:rsidRPr="00A95BB4">
                              <w:rPr>
                                <w:rFonts w:cstheme="minorHAnsi"/>
                                <w:sz w:val="20"/>
                                <w:szCs w:val="20"/>
                              </w:rPr>
                              <w:t>ting a dec</w:t>
                            </w:r>
                            <w:r>
                              <w:rPr>
                                <w:rFonts w:cstheme="minorHAnsi"/>
                                <w:sz w:val="20"/>
                                <w:szCs w:val="20"/>
                              </w:rPr>
                              <w:t>l</w:t>
                            </w:r>
                            <w:r w:rsidRPr="00A95BB4">
                              <w:rPr>
                                <w:rFonts w:cstheme="minorHAnsi"/>
                                <w:sz w:val="20"/>
                                <w:szCs w:val="20"/>
                              </w:rPr>
                              <w:t xml:space="preserve">ine of 80% in </w:t>
                            </w:r>
                            <w:r w:rsidRPr="00A95BB4">
                              <w:rPr>
                                <w:rFonts w:cstheme="minorHAnsi"/>
                                <w:b/>
                                <w:bCs/>
                                <w:sz w:val="20"/>
                                <w:szCs w:val="20"/>
                              </w:rPr>
                              <w:t>SRHR</w:t>
                            </w:r>
                            <w:r w:rsidRPr="00A95BB4">
                              <w:rPr>
                                <w:rFonts w:cstheme="minorHAnsi"/>
                                <w:sz w:val="20"/>
                                <w:szCs w:val="20"/>
                              </w:rPr>
                              <w:t xml:space="preserve"> services</w:t>
                            </w:r>
                            <w:r w:rsidRPr="00A95BB4">
                              <w:rPr>
                                <w:rStyle w:val="EndnoteReference"/>
                                <w:rFonts w:cstheme="minorHAnsi"/>
                                <w:color w:val="000000"/>
                                <w:sz w:val="20"/>
                                <w:szCs w:val="20"/>
                                <w:shd w:val="clear" w:color="auto" w:fill="FFFFFF"/>
                              </w:rPr>
                              <w:footnoteRef/>
                            </w:r>
                            <w:r w:rsidRPr="00A95BB4">
                              <w:rPr>
                                <w:rFonts w:cstheme="minorHAnsi"/>
                                <w:color w:val="000000"/>
                                <w:sz w:val="20"/>
                                <w:szCs w:val="20"/>
                                <w:shd w:val="clear" w:color="auto" w:fill="FFFFFF"/>
                              </w:rPr>
                              <w:t>.</w:t>
                            </w:r>
                            <w:r w:rsidRPr="00A95BB4">
                              <w:rPr>
                                <w:rFonts w:cstheme="minorHAnsi"/>
                                <w:sz w:val="20"/>
                                <w:szCs w:val="20"/>
                              </w:rPr>
                              <w:t xml:space="preserve"> </w:t>
                            </w:r>
                            <w:r w:rsidR="00896724">
                              <w:rPr>
                                <w:rFonts w:cstheme="minorHAnsi"/>
                                <w:sz w:val="20"/>
                                <w:szCs w:val="20"/>
                              </w:rPr>
                              <w:t xml:space="preserve">The </w:t>
                            </w:r>
                            <w:r w:rsidRPr="00A95BB4">
                              <w:rPr>
                                <w:rFonts w:cstheme="minorHAnsi"/>
                                <w:sz w:val="20"/>
                                <w:szCs w:val="20"/>
                              </w:rPr>
                              <w:t xml:space="preserve">Guttmacher </w:t>
                            </w:r>
                            <w:r w:rsidR="00896724">
                              <w:rPr>
                                <w:rFonts w:cstheme="minorHAnsi"/>
                                <w:sz w:val="20"/>
                                <w:szCs w:val="20"/>
                              </w:rPr>
                              <w:t xml:space="preserve">Institute </w:t>
                            </w:r>
                            <w:r w:rsidRPr="00A95BB4">
                              <w:rPr>
                                <w:rFonts w:cstheme="minorHAnsi"/>
                                <w:sz w:val="20"/>
                                <w:szCs w:val="20"/>
                              </w:rPr>
                              <w:t>estimates that even a 10% decline in use of short- and long-acting reversible contraceptive methods would result in an additional 49 million women with an unmet need for modern contraceptives and an additional 15 million unintended pregnancies over just one year</w:t>
                            </w:r>
                            <w:r w:rsidRPr="00A95BB4">
                              <w:rPr>
                                <w:rStyle w:val="EndnoteReference"/>
                                <w:rFonts w:cstheme="minorHAnsi"/>
                                <w:sz w:val="20"/>
                                <w:szCs w:val="20"/>
                              </w:rPr>
                              <w:footnoteRef/>
                            </w:r>
                            <w:r w:rsidRPr="00A95BB4">
                              <w:rPr>
                                <w:rFonts w:cstheme="minorHAnsi"/>
                                <w:sz w:val="20"/>
                                <w:szCs w:val="20"/>
                              </w:rPr>
                              <w:t>.</w:t>
                            </w:r>
                          </w:p>
                          <w:p w14:paraId="26001DE5" w14:textId="0BC7F447" w:rsidR="00B15F00" w:rsidRPr="00A95BB4" w:rsidRDefault="00B15F00" w:rsidP="00DD61A8">
                            <w:pPr>
                              <w:pStyle w:val="ListParagraph"/>
                              <w:numPr>
                                <w:ilvl w:val="0"/>
                                <w:numId w:val="12"/>
                              </w:numPr>
                              <w:ind w:left="284" w:hanging="284"/>
                              <w:jc w:val="both"/>
                              <w:rPr>
                                <w:sz w:val="20"/>
                                <w:szCs w:val="20"/>
                              </w:rPr>
                            </w:pPr>
                            <w:r w:rsidRPr="00A95BB4">
                              <w:rPr>
                                <w:rFonts w:cs="Cera PRO"/>
                                <w:b/>
                                <w:bCs/>
                                <w:color w:val="000000"/>
                                <w:sz w:val="20"/>
                                <w:szCs w:val="20"/>
                              </w:rPr>
                              <w:t>Adolescent</w:t>
                            </w:r>
                            <w:r w:rsidRPr="00A95BB4">
                              <w:rPr>
                                <w:rFonts w:cs="Cera PRO"/>
                                <w:color w:val="000000"/>
                                <w:sz w:val="20"/>
                                <w:szCs w:val="20"/>
                              </w:rPr>
                              <w:t xml:space="preserve"> death rates globally are not declining as fast as deaths among children aged between one month and four years, partly because of the rise in AIDS-related adolescent deaths. Among adolescents and young adults, mental health and substance use issues, such as anxiety, depression, and alcohol and drug abuse, are the leading causes of ‘Years Living with Disability’.</w:t>
                            </w:r>
                          </w:p>
                        </w:txbxContent>
                      </wps:txbx>
                      <wps:bodyPr rot="0" vert="horz" wrap="square" lIns="91440" tIns="45720" rIns="91440" bIns="45720" anchor="t" anchorCtr="0">
                        <a:spAutoFit/>
                      </wps:bodyPr>
                    </wps:wsp>
                  </a:graphicData>
                </a:graphic>
              </wp:inline>
            </w:drawing>
          </mc:Choice>
          <mc:Fallback>
            <w:pict>
              <v:shapetype w14:anchorId="3A3278A4" id="_x0000_t202" coordsize="21600,21600" o:spt="202" path="m,l,21600r21600,l21600,xe">
                <v:stroke joinstyle="miter"/>
                <v:path gradientshapeok="t" o:connecttype="rect"/>
              </v:shapetype>
              <v:shape id="Text Box 2" o:spid="_x0000_s1026" type="#_x0000_t202" style="width:448.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" fillcolor="#deeaf6 [664]">
                <v:textbox style="mso-fit-shape-to-text:t">
                  <w:txbxContent>
                    <w:p w14:paraId="1A29C715" w14:textId="1DAF778F" w:rsidR="00B15F00" w:rsidRPr="00A95BB4" w:rsidRDefault="00B15F00" w:rsidP="00DD61A8">
                      <w:pPr>
                        <w:pStyle w:val="ListParagraph"/>
                        <w:ind w:left="0"/>
                        <w:jc w:val="center"/>
                        <w:rPr>
                          <w:rFonts w:cstheme="minorHAnsi"/>
                          <w:b/>
                          <w:bCs/>
                          <w:sz w:val="20"/>
                          <w:szCs w:val="20"/>
                        </w:rPr>
                      </w:pPr>
                      <w:r w:rsidRPr="00A95BB4">
                        <w:rPr>
                          <w:rFonts w:cstheme="minorHAnsi"/>
                          <w:b/>
                          <w:bCs/>
                          <w:sz w:val="20"/>
                          <w:szCs w:val="20"/>
                        </w:rPr>
                        <w:t>Challenges in MNCH, SRHR &amp; Adolescents</w:t>
                      </w:r>
                    </w:p>
                    <w:p w14:paraId="789F209A" w14:textId="68A2BCB9" w:rsidR="00B15F00" w:rsidRPr="00A95BB4" w:rsidRDefault="00B15F00" w:rsidP="00DD61A8">
                      <w:pPr>
                        <w:pStyle w:val="ListParagraph"/>
                        <w:numPr>
                          <w:ilvl w:val="0"/>
                          <w:numId w:val="12"/>
                        </w:numPr>
                        <w:ind w:left="284" w:hanging="284"/>
                        <w:jc w:val="both"/>
                        <w:rPr>
                          <w:sz w:val="20"/>
                          <w:szCs w:val="20"/>
                        </w:rPr>
                      </w:pPr>
                      <w:r w:rsidRPr="00A95BB4">
                        <w:rPr>
                          <w:rFonts w:cs="Cera PRO"/>
                          <w:color w:val="000000"/>
                          <w:sz w:val="20"/>
                          <w:szCs w:val="20"/>
                        </w:rPr>
                        <w:t xml:space="preserve">the </w:t>
                      </w:r>
                      <w:r w:rsidRPr="00A95BB4">
                        <w:rPr>
                          <w:rFonts w:cs="Cera PRO"/>
                          <w:b/>
                          <w:bCs/>
                          <w:color w:val="000000"/>
                          <w:sz w:val="20"/>
                          <w:szCs w:val="20"/>
                        </w:rPr>
                        <w:t>Maternal Mortality Rate</w:t>
                      </w:r>
                      <w:r w:rsidRPr="00A95BB4">
                        <w:rPr>
                          <w:rFonts w:cs="Cera PRO"/>
                          <w:color w:val="000000"/>
                          <w:sz w:val="20"/>
                          <w:szCs w:val="20"/>
                        </w:rPr>
                        <w:t xml:space="preserve"> </w:t>
                      </w:r>
                      <w:r w:rsidRPr="00A95BB4">
                        <w:rPr>
                          <w:sz w:val="20"/>
                          <w:szCs w:val="20"/>
                        </w:rPr>
                        <w:t>in least developed countries is more than 40 times higher than in Europe</w:t>
                      </w:r>
                      <w:r w:rsidRPr="00A95BB4">
                        <w:rPr>
                          <w:sz w:val="20"/>
                          <w:szCs w:val="20"/>
                          <w:vertAlign w:val="superscript"/>
                        </w:rPr>
                        <w:footnoteRef/>
                      </w:r>
                      <w:r w:rsidRPr="00A95BB4">
                        <w:rPr>
                          <w:sz w:val="20"/>
                          <w:szCs w:val="20"/>
                        </w:rPr>
                        <w:t>.</w:t>
                      </w:r>
                      <w:r w:rsidRPr="00A95BB4">
                        <w:rPr>
                          <w:rFonts w:cs="Cera PRO"/>
                          <w:color w:val="000000"/>
                          <w:sz w:val="20"/>
                          <w:szCs w:val="20"/>
                        </w:rPr>
                        <w:t xml:space="preserve"> In 2018 it was estimated that almost half of </w:t>
                      </w:r>
                      <w:r w:rsidRPr="00A95BB4">
                        <w:rPr>
                          <w:rFonts w:cs="Cera PRO"/>
                          <w:b/>
                          <w:bCs/>
                          <w:color w:val="000000"/>
                          <w:sz w:val="20"/>
                          <w:szCs w:val="20"/>
                        </w:rPr>
                        <w:t>Under 5 deaths</w:t>
                      </w:r>
                      <w:r w:rsidRPr="00A95BB4">
                        <w:rPr>
                          <w:rFonts w:cs="Cera PRO"/>
                          <w:color w:val="000000"/>
                          <w:sz w:val="20"/>
                          <w:szCs w:val="20"/>
                        </w:rPr>
                        <w:t xml:space="preserve"> were occurring in the neonatal period</w:t>
                      </w:r>
                      <w:r w:rsidRPr="00A95BB4">
                        <w:rPr>
                          <w:rStyle w:val="EndnoteReference"/>
                          <w:rFonts w:cs="Cera PRO"/>
                          <w:color w:val="000000"/>
                          <w:sz w:val="20"/>
                          <w:szCs w:val="20"/>
                        </w:rPr>
                        <w:footnoteRef/>
                      </w:r>
                      <w:r w:rsidRPr="00A95BB4">
                        <w:rPr>
                          <w:rFonts w:cs="Cera PRO"/>
                          <w:color w:val="000000"/>
                          <w:sz w:val="20"/>
                          <w:szCs w:val="20"/>
                        </w:rPr>
                        <w:t xml:space="preserve"> and that only half</w:t>
                      </w:r>
                      <w:r w:rsidRPr="00A95BB4">
                        <w:rPr>
                          <w:sz w:val="20"/>
                          <w:szCs w:val="20"/>
                        </w:rPr>
                        <w:t xml:space="preserve"> of small and sick </w:t>
                      </w:r>
                      <w:proofErr w:type="spellStart"/>
                      <w:r w:rsidRPr="00A95BB4">
                        <w:rPr>
                          <w:sz w:val="20"/>
                          <w:szCs w:val="20"/>
                        </w:rPr>
                        <w:t>newborns</w:t>
                      </w:r>
                      <w:proofErr w:type="spellEnd"/>
                      <w:r w:rsidRPr="00A95BB4">
                        <w:rPr>
                          <w:sz w:val="20"/>
                          <w:szCs w:val="20"/>
                        </w:rPr>
                        <w:t xml:space="preserve"> have access to quality care</w:t>
                      </w:r>
                      <w:r w:rsidRPr="00A95BB4">
                        <w:rPr>
                          <w:rStyle w:val="EndnoteReference"/>
                          <w:sz w:val="20"/>
                          <w:szCs w:val="20"/>
                        </w:rPr>
                        <w:footnoteRef/>
                      </w:r>
                      <w:r w:rsidRPr="00A95BB4">
                        <w:rPr>
                          <w:rFonts w:cs="Cera PRO"/>
                          <w:color w:val="000000"/>
                          <w:sz w:val="20"/>
                          <w:szCs w:val="20"/>
                        </w:rPr>
                        <w:t>.</w:t>
                      </w:r>
                      <w:r w:rsidRPr="00A95BB4">
                        <w:rPr>
                          <w:rFonts w:cstheme="minorHAnsi"/>
                          <w:sz w:val="20"/>
                          <w:szCs w:val="20"/>
                        </w:rPr>
                        <w:t xml:space="preserve"> </w:t>
                      </w:r>
                      <w:r w:rsidRPr="00A95BB4">
                        <w:rPr>
                          <w:rFonts w:cs="Cera PRO"/>
                          <w:color w:val="000000"/>
                          <w:sz w:val="20"/>
                          <w:szCs w:val="20"/>
                        </w:rPr>
                        <w:t>That mothers and children continue to die is the true marker of the inequalities in health systems.</w:t>
                      </w:r>
                    </w:p>
                    <w:p w14:paraId="45326A9C" w14:textId="2BC664B3" w:rsidR="00B15F00" w:rsidRPr="00A95BB4" w:rsidRDefault="00B15F00" w:rsidP="00DD61A8">
                      <w:pPr>
                        <w:pStyle w:val="ListParagraph"/>
                        <w:numPr>
                          <w:ilvl w:val="0"/>
                          <w:numId w:val="12"/>
                        </w:numPr>
                        <w:ind w:left="284" w:hanging="284"/>
                        <w:jc w:val="both"/>
                        <w:rPr>
                          <w:sz w:val="20"/>
                          <w:szCs w:val="20"/>
                        </w:rPr>
                      </w:pPr>
                      <w:r w:rsidRPr="00A95BB4">
                        <w:rPr>
                          <w:rFonts w:cstheme="minorHAnsi"/>
                          <w:sz w:val="20"/>
                          <w:szCs w:val="20"/>
                        </w:rPr>
                        <w:t>As a result of COVID-19, some partners are estim</w:t>
                      </w:r>
                      <w:r>
                        <w:rPr>
                          <w:rFonts w:cstheme="minorHAnsi"/>
                          <w:sz w:val="20"/>
                          <w:szCs w:val="20"/>
                        </w:rPr>
                        <w:t>a</w:t>
                      </w:r>
                      <w:r w:rsidRPr="00A95BB4">
                        <w:rPr>
                          <w:rFonts w:cstheme="minorHAnsi"/>
                          <w:sz w:val="20"/>
                          <w:szCs w:val="20"/>
                        </w:rPr>
                        <w:t>ting a dec</w:t>
                      </w:r>
                      <w:r>
                        <w:rPr>
                          <w:rFonts w:cstheme="minorHAnsi"/>
                          <w:sz w:val="20"/>
                          <w:szCs w:val="20"/>
                        </w:rPr>
                        <w:t>l</w:t>
                      </w:r>
                      <w:r w:rsidRPr="00A95BB4">
                        <w:rPr>
                          <w:rFonts w:cstheme="minorHAnsi"/>
                          <w:sz w:val="20"/>
                          <w:szCs w:val="20"/>
                        </w:rPr>
                        <w:t xml:space="preserve">ine of 80% in </w:t>
                      </w:r>
                      <w:r w:rsidRPr="00A95BB4">
                        <w:rPr>
                          <w:rFonts w:cstheme="minorHAnsi"/>
                          <w:b/>
                          <w:bCs/>
                          <w:sz w:val="20"/>
                          <w:szCs w:val="20"/>
                        </w:rPr>
                        <w:t>SRHR</w:t>
                      </w:r>
                      <w:r w:rsidRPr="00A95BB4">
                        <w:rPr>
                          <w:rFonts w:cstheme="minorHAnsi"/>
                          <w:sz w:val="20"/>
                          <w:szCs w:val="20"/>
                        </w:rPr>
                        <w:t xml:space="preserve"> services</w:t>
                      </w:r>
                      <w:r w:rsidRPr="00A95BB4">
                        <w:rPr>
                          <w:rStyle w:val="EndnoteReference"/>
                          <w:rFonts w:cstheme="minorHAnsi"/>
                          <w:color w:val="000000"/>
                          <w:sz w:val="20"/>
                          <w:szCs w:val="20"/>
                          <w:shd w:val="clear" w:color="auto" w:fill="FFFFFF"/>
                        </w:rPr>
                        <w:footnoteRef/>
                      </w:r>
                      <w:r w:rsidRPr="00A95BB4">
                        <w:rPr>
                          <w:rFonts w:cstheme="minorHAnsi"/>
                          <w:color w:val="000000"/>
                          <w:sz w:val="20"/>
                          <w:szCs w:val="20"/>
                          <w:shd w:val="clear" w:color="auto" w:fill="FFFFFF"/>
                        </w:rPr>
                        <w:t>.</w:t>
                      </w:r>
                      <w:r w:rsidRPr="00A95BB4">
                        <w:rPr>
                          <w:rFonts w:cstheme="minorHAnsi"/>
                          <w:sz w:val="20"/>
                          <w:szCs w:val="20"/>
                        </w:rPr>
                        <w:t xml:space="preserve"> </w:t>
                      </w:r>
                      <w:r w:rsidR="00896724">
                        <w:rPr>
                          <w:rFonts w:cstheme="minorHAnsi"/>
                          <w:sz w:val="20"/>
                          <w:szCs w:val="20"/>
                        </w:rPr>
                        <w:t xml:space="preserve">The </w:t>
                      </w:r>
                      <w:r w:rsidRPr="00A95BB4">
                        <w:rPr>
                          <w:rFonts w:cstheme="minorHAnsi"/>
                          <w:sz w:val="20"/>
                          <w:szCs w:val="20"/>
                        </w:rPr>
                        <w:t xml:space="preserve">Guttmacher </w:t>
                      </w:r>
                      <w:r w:rsidR="00896724">
                        <w:rPr>
                          <w:rFonts w:cstheme="minorHAnsi"/>
                          <w:sz w:val="20"/>
                          <w:szCs w:val="20"/>
                        </w:rPr>
                        <w:t xml:space="preserve">Institute </w:t>
                      </w:r>
                      <w:r w:rsidRPr="00A95BB4">
                        <w:rPr>
                          <w:rFonts w:cstheme="minorHAnsi"/>
                          <w:sz w:val="20"/>
                          <w:szCs w:val="20"/>
                        </w:rPr>
                        <w:t>estimates that even a 10% decline in use of short- and long-acting reversible contraceptive methods would result in an additional 49 million women with an unmet need for modern contraceptives and an additional 15 million unintended pregnancies over just one year</w:t>
                      </w:r>
                      <w:r w:rsidRPr="00A95BB4">
                        <w:rPr>
                          <w:rStyle w:val="EndnoteReference"/>
                          <w:rFonts w:cstheme="minorHAnsi"/>
                          <w:sz w:val="20"/>
                          <w:szCs w:val="20"/>
                        </w:rPr>
                        <w:footnoteRef/>
                      </w:r>
                      <w:r w:rsidRPr="00A95BB4">
                        <w:rPr>
                          <w:rFonts w:cstheme="minorHAnsi"/>
                          <w:sz w:val="20"/>
                          <w:szCs w:val="20"/>
                        </w:rPr>
                        <w:t>.</w:t>
                      </w:r>
                    </w:p>
                    <w:p w14:paraId="26001DE5" w14:textId="0BC7F447" w:rsidR="00B15F00" w:rsidRPr="00A95BB4" w:rsidRDefault="00B15F00" w:rsidP="00DD61A8">
                      <w:pPr>
                        <w:pStyle w:val="ListParagraph"/>
                        <w:numPr>
                          <w:ilvl w:val="0"/>
                          <w:numId w:val="12"/>
                        </w:numPr>
                        <w:ind w:left="284" w:hanging="284"/>
                        <w:jc w:val="both"/>
                        <w:rPr>
                          <w:sz w:val="20"/>
                          <w:szCs w:val="20"/>
                        </w:rPr>
                      </w:pPr>
                      <w:r w:rsidRPr="00A95BB4">
                        <w:rPr>
                          <w:rFonts w:cs="Cera PRO"/>
                          <w:b/>
                          <w:bCs/>
                          <w:color w:val="000000"/>
                          <w:sz w:val="20"/>
                          <w:szCs w:val="20"/>
                        </w:rPr>
                        <w:t>Adolescent</w:t>
                      </w:r>
                      <w:r w:rsidRPr="00A95BB4">
                        <w:rPr>
                          <w:rFonts w:cs="Cera PRO"/>
                          <w:color w:val="000000"/>
                          <w:sz w:val="20"/>
                          <w:szCs w:val="20"/>
                        </w:rPr>
                        <w:t xml:space="preserve"> death rates globally are not declining as fast as deaths among children aged between one month and four years, partly because of the rise in AIDS-related adolescent deaths. Among adolescents and young adults, mental health and substance use issues, such as anxiety, depression, and alcohol and drug abuse, are the leading causes of ‘Years Living with Disability’.</w:t>
                      </w:r>
                    </w:p>
                  </w:txbxContent>
                </v:textbox>
                <w10:anchorlock/>
              </v:shape>
            </w:pict>
          </mc:Fallback>
        </mc:AlternateContent>
      </w:r>
      <w:r w:rsidRPr="00A95BB4">
        <w:rPr>
          <w:rFonts w:cstheme="minorHAnsi"/>
        </w:rPr>
        <w:t xml:space="preserve"> </w:t>
      </w:r>
    </w:p>
    <w:p w14:paraId="40DB6F2F" w14:textId="3D45300C" w:rsidR="00DD61A8" w:rsidRPr="00A95BB4" w:rsidRDefault="00DD61A8" w:rsidP="00AF42DD">
      <w:pPr>
        <w:pStyle w:val="ListParagraph"/>
        <w:ind w:left="0"/>
        <w:jc w:val="both"/>
        <w:rPr>
          <w:rFonts w:cstheme="minorHAnsi"/>
        </w:rPr>
      </w:pPr>
    </w:p>
    <w:p w14:paraId="016F40F5" w14:textId="5D1CF386" w:rsidR="00593B26" w:rsidRPr="00A95BB4" w:rsidRDefault="00527FB9" w:rsidP="00593B26">
      <w:pPr>
        <w:pStyle w:val="ListParagraph"/>
        <w:ind w:left="0"/>
        <w:jc w:val="both"/>
        <w:rPr>
          <w:rFonts w:ascii="Calibri" w:hAnsi="Calibri" w:cs="Calibri"/>
        </w:rPr>
      </w:pPr>
      <w:r w:rsidRPr="00A95BB4">
        <w:rPr>
          <w:rFonts w:cstheme="minorHAnsi"/>
        </w:rPr>
        <w:t xml:space="preserve">At the time of writing, the world </w:t>
      </w:r>
      <w:r w:rsidR="001C71D7" w:rsidRPr="00A95BB4">
        <w:rPr>
          <w:rFonts w:cstheme="minorHAnsi"/>
        </w:rPr>
        <w:t xml:space="preserve">also </w:t>
      </w:r>
      <w:r w:rsidRPr="00A95BB4">
        <w:rPr>
          <w:rFonts w:cstheme="minorHAnsi"/>
        </w:rPr>
        <w:t>faces a global health pandemic</w:t>
      </w:r>
      <w:r w:rsidR="00B521EC" w:rsidRPr="00A95BB4">
        <w:rPr>
          <w:rFonts w:cstheme="minorHAnsi"/>
        </w:rPr>
        <w:t xml:space="preserve"> </w:t>
      </w:r>
      <w:r w:rsidRPr="00A95BB4">
        <w:rPr>
          <w:rFonts w:cstheme="minorHAnsi"/>
        </w:rPr>
        <w:t>without historical precedent.</w:t>
      </w:r>
      <w:r w:rsidR="00B521EC" w:rsidRPr="00A95BB4">
        <w:rPr>
          <w:rFonts w:cstheme="minorHAnsi"/>
        </w:rPr>
        <w:t xml:space="preserve"> </w:t>
      </w:r>
      <w:r w:rsidR="00593B26" w:rsidRPr="00A95BB4">
        <w:rPr>
          <w:rFonts w:ascii="Calibri" w:hAnsi="Calibri" w:cs="Calibri"/>
        </w:rPr>
        <w:t xml:space="preserve">COVID-19 presents a massive shock to an already struggling global health system and world economy. </w:t>
      </w:r>
    </w:p>
    <w:p w14:paraId="62230E1B" w14:textId="4AEE4C5A" w:rsidR="00593B26" w:rsidRDefault="00593B26" w:rsidP="00593B26">
      <w:pPr>
        <w:pStyle w:val="ListParagraph"/>
        <w:ind w:left="0"/>
        <w:jc w:val="both"/>
        <w:rPr>
          <w:rFonts w:cstheme="minorHAnsi"/>
        </w:rPr>
      </w:pPr>
      <w:r w:rsidRPr="00A95BB4">
        <w:rPr>
          <w:rFonts w:ascii="Calibri" w:hAnsi="Calibri" w:cs="Calibri"/>
        </w:rPr>
        <w:t>The Sustainable Development Goals (SDGs) ushered in an ambitious agenda to “Ensure healthy lives and promote well-being for all at all ages”, including both the unfinished MDG agenda and a renewed focus on Universal Health Coverage</w:t>
      </w:r>
      <w:r w:rsidR="00713246" w:rsidRPr="00A95BB4">
        <w:rPr>
          <w:rFonts w:ascii="Calibri" w:hAnsi="Calibri" w:cs="Calibri"/>
        </w:rPr>
        <w:t xml:space="preserve"> (UHC)</w:t>
      </w:r>
      <w:r w:rsidRPr="00A95BB4">
        <w:rPr>
          <w:rFonts w:ascii="Calibri" w:hAnsi="Calibri" w:cs="Calibri"/>
        </w:rPr>
        <w:t xml:space="preserve"> and </w:t>
      </w:r>
      <w:r w:rsidR="00896724">
        <w:rPr>
          <w:rFonts w:ascii="Calibri" w:hAnsi="Calibri" w:cs="Calibri"/>
        </w:rPr>
        <w:t xml:space="preserve">on </w:t>
      </w:r>
      <w:r w:rsidRPr="00A95BB4">
        <w:rPr>
          <w:rFonts w:ascii="Calibri" w:hAnsi="Calibri" w:cs="Calibri"/>
        </w:rPr>
        <w:t>NCDs. Not only has progress on the SDGs been slow and uneven, but COVID-19 has magnified social and economic inequ</w:t>
      </w:r>
      <w:r w:rsidR="001E58EB" w:rsidRPr="00A95BB4">
        <w:rPr>
          <w:rFonts w:ascii="Calibri" w:hAnsi="Calibri" w:cs="Calibri"/>
        </w:rPr>
        <w:t>alities</w:t>
      </w:r>
      <w:r w:rsidR="00713246" w:rsidRPr="00A95BB4">
        <w:rPr>
          <w:rFonts w:ascii="Calibri" w:hAnsi="Calibri" w:cs="Calibri"/>
        </w:rPr>
        <w:t>,</w:t>
      </w:r>
      <w:r w:rsidRPr="00A95BB4">
        <w:rPr>
          <w:rFonts w:ascii="Calibri" w:hAnsi="Calibri" w:cs="Calibri"/>
        </w:rPr>
        <w:t xml:space="preserve"> a</w:t>
      </w:r>
      <w:r w:rsidR="00713246" w:rsidRPr="00A95BB4">
        <w:rPr>
          <w:rFonts w:ascii="Calibri" w:hAnsi="Calibri" w:cs="Calibri"/>
        </w:rPr>
        <w:t>s well as</w:t>
      </w:r>
      <w:r w:rsidRPr="00A95BB4">
        <w:rPr>
          <w:rFonts w:ascii="Calibri" w:hAnsi="Calibri" w:cs="Calibri"/>
        </w:rPr>
        <w:t xml:space="preserve"> </w:t>
      </w:r>
      <w:r w:rsidR="001E58EB" w:rsidRPr="00A95BB4">
        <w:rPr>
          <w:rFonts w:ascii="Calibri" w:hAnsi="Calibri" w:cs="Calibri"/>
        </w:rPr>
        <w:t xml:space="preserve">deep </w:t>
      </w:r>
      <w:r w:rsidRPr="00A95BB4">
        <w:rPr>
          <w:rFonts w:ascii="Calibri" w:hAnsi="Calibri" w:cs="Calibri"/>
        </w:rPr>
        <w:t>inequities in health coverage and outcomes. It further threatens the achievement of the SDGs</w:t>
      </w:r>
      <w:r w:rsidR="001E58EB" w:rsidRPr="00A95BB4">
        <w:rPr>
          <w:rFonts w:ascii="Calibri" w:hAnsi="Calibri" w:cs="Calibri"/>
        </w:rPr>
        <w:t xml:space="preserve">, both health-related and also </w:t>
      </w:r>
      <w:r w:rsidR="00896724">
        <w:rPr>
          <w:rFonts w:ascii="Calibri" w:hAnsi="Calibri" w:cs="Calibri"/>
        </w:rPr>
        <w:t xml:space="preserve">SDGs </w:t>
      </w:r>
      <w:r w:rsidR="001E58EB" w:rsidRPr="00A95BB4">
        <w:rPr>
          <w:rFonts w:ascii="Calibri" w:hAnsi="Calibri" w:cs="Calibri"/>
        </w:rPr>
        <w:t>in those sectors that are determinants of health outcomes such as economic development, education, water and sanitation and early childhood development</w:t>
      </w:r>
      <w:r w:rsidRPr="00A95BB4">
        <w:rPr>
          <w:rFonts w:ascii="Calibri" w:hAnsi="Calibri" w:cs="Calibri"/>
        </w:rPr>
        <w:t>.</w:t>
      </w:r>
    </w:p>
    <w:p w14:paraId="1F91BF94" w14:textId="77777777" w:rsidR="00593B26" w:rsidRDefault="00593B26" w:rsidP="00593B26">
      <w:pPr>
        <w:pStyle w:val="ListParagraph"/>
        <w:ind w:left="0"/>
        <w:jc w:val="both"/>
        <w:rPr>
          <w:rFonts w:cstheme="minorHAnsi"/>
        </w:rPr>
      </w:pPr>
    </w:p>
    <w:p w14:paraId="0ED66180" w14:textId="0143B704" w:rsidR="00527FB9" w:rsidRDefault="00593B26" w:rsidP="00E5643F">
      <w:pPr>
        <w:pStyle w:val="ListParagraph"/>
        <w:ind w:left="0"/>
        <w:jc w:val="both"/>
        <w:rPr>
          <w:rFonts w:cstheme="minorHAnsi"/>
        </w:rPr>
      </w:pPr>
      <w:r w:rsidRPr="000B4A15">
        <w:rPr>
          <w:rFonts w:cstheme="minorHAnsi"/>
          <w:noProof/>
        </w:rPr>
        <mc:AlternateContent>
          <mc:Choice Requires="wps">
            <w:drawing>
              <wp:anchor distT="45720" distB="45720" distL="114300" distR="114300" simplePos="0" relativeHeight="251660288" behindDoc="0" locked="0" layoutInCell="1" allowOverlap="1" wp14:anchorId="5C340E58" wp14:editId="1DE21A10">
                <wp:simplePos x="0" y="0"/>
                <wp:positionH relativeFrom="margin">
                  <wp:posOffset>3136265</wp:posOffset>
                </wp:positionH>
                <wp:positionV relativeFrom="paragraph">
                  <wp:posOffset>571500</wp:posOffset>
                </wp:positionV>
                <wp:extent cx="2584450" cy="1404620"/>
                <wp:effectExtent l="0" t="0" r="2540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404620"/>
                        </a:xfrm>
                        <a:prstGeom prst="rect">
                          <a:avLst/>
                        </a:prstGeom>
                        <a:solidFill>
                          <a:srgbClr val="FFFFFF"/>
                        </a:solidFill>
                        <a:ln w="9525">
                          <a:solidFill>
                            <a:srgbClr val="000000"/>
                          </a:solidFill>
                          <a:miter lim="800000"/>
                          <a:headEnd/>
                          <a:tailEnd/>
                        </a:ln>
                      </wps:spPr>
                      <wps:txbx>
                        <w:txbxContent>
                          <w:p w14:paraId="5F1B558B" w14:textId="267ECA54" w:rsidR="00B15F00" w:rsidRPr="00571B02" w:rsidRDefault="00B15F00" w:rsidP="000B4A15">
                            <w:pPr>
                              <w:pStyle w:val="ListParagraph"/>
                              <w:ind w:left="0"/>
                              <w:jc w:val="both"/>
                              <w:rPr>
                                <w:rFonts w:cstheme="minorHAnsi"/>
                                <w:sz w:val="20"/>
                                <w:szCs w:val="20"/>
                              </w:rPr>
                            </w:pPr>
                            <w:r w:rsidRPr="00571B02">
                              <w:rPr>
                                <w:rFonts w:cstheme="minorHAnsi"/>
                                <w:sz w:val="20"/>
                                <w:szCs w:val="20"/>
                              </w:rPr>
                              <w:t>“We are as strong as the weakest of our health systems… There is an opportunity to rebuild differently, but this will require much more effective international cooperation</w:t>
                            </w:r>
                            <w:r>
                              <w:rPr>
                                <w:rFonts w:cstheme="minorHAnsi"/>
                                <w:sz w:val="20"/>
                                <w:szCs w:val="20"/>
                              </w:rPr>
                              <w:t>.</w:t>
                            </w:r>
                            <w:r w:rsidRPr="00571B02">
                              <w:rPr>
                                <w:rFonts w:cstheme="minorHAnsi"/>
                                <w:sz w:val="20"/>
                                <w:szCs w:val="20"/>
                              </w:rPr>
                              <w:t>” UN Secretary General António Guterres (31/4/20)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340E58" id="_x0000_s1027" type="#_x0000_t202" style="position:absolute;left:0;text-align:left;margin-left:246.95pt;margin-top:45pt;width:203.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">
                <v:textbox style="mso-fit-shape-to-text:t">
                  <w:txbxContent>
                    <w:p w14:paraId="5F1B558B" w14:textId="267ECA54" w:rsidR="00B15F00" w:rsidRPr="00571B02" w:rsidRDefault="00B15F00" w:rsidP="000B4A15">
                      <w:pPr>
                        <w:pStyle w:val="ListParagraph"/>
                        <w:ind w:left="0"/>
                        <w:jc w:val="both"/>
                        <w:rPr>
                          <w:rFonts w:cstheme="minorHAnsi"/>
                          <w:sz w:val="20"/>
                          <w:szCs w:val="20"/>
                        </w:rPr>
                      </w:pPr>
                      <w:r w:rsidRPr="00571B02">
                        <w:rPr>
                          <w:rFonts w:cstheme="minorHAnsi"/>
                          <w:sz w:val="20"/>
                          <w:szCs w:val="20"/>
                        </w:rPr>
                        <w:t>“We are as strong as the weakest of our health systems… There is an opportunity to rebuild differently, but this will require much more effective international cooperation</w:t>
                      </w:r>
                      <w:r>
                        <w:rPr>
                          <w:rFonts w:cstheme="minorHAnsi"/>
                          <w:sz w:val="20"/>
                          <w:szCs w:val="20"/>
                        </w:rPr>
                        <w:t>.</w:t>
                      </w:r>
                      <w:r w:rsidRPr="00571B02">
                        <w:rPr>
                          <w:rFonts w:cstheme="minorHAnsi"/>
                          <w:sz w:val="20"/>
                          <w:szCs w:val="20"/>
                        </w:rPr>
                        <w:t>” UN Secretary General António Guterres (31/4/20)</w:t>
                      </w:r>
                    </w:p>
                  </w:txbxContent>
                </v:textbox>
                <w10:wrap type="square" anchorx="margin"/>
              </v:shape>
            </w:pict>
          </mc:Fallback>
        </mc:AlternateContent>
      </w:r>
      <w:r>
        <w:rPr>
          <w:rFonts w:cstheme="minorHAnsi"/>
        </w:rPr>
        <w:t>T</w:t>
      </w:r>
      <w:r w:rsidR="001C71D7">
        <w:rPr>
          <w:rFonts w:cstheme="minorHAnsi"/>
        </w:rPr>
        <w:t xml:space="preserve">he response and aftermath to this pandemic </w:t>
      </w:r>
      <w:r w:rsidR="00B521EC">
        <w:rPr>
          <w:rFonts w:cstheme="minorHAnsi"/>
        </w:rPr>
        <w:t>will change the global economy</w:t>
      </w:r>
      <w:r w:rsidR="001C71D7">
        <w:rPr>
          <w:rFonts w:cstheme="minorHAnsi"/>
        </w:rPr>
        <w:t xml:space="preserve"> and </w:t>
      </w:r>
      <w:r w:rsidR="00B521EC">
        <w:rPr>
          <w:rFonts w:cstheme="minorHAnsi"/>
        </w:rPr>
        <w:t>will</w:t>
      </w:r>
      <w:r w:rsidR="001C71D7">
        <w:rPr>
          <w:rFonts w:cstheme="minorHAnsi"/>
        </w:rPr>
        <w:t xml:space="preserve"> change </w:t>
      </w:r>
      <w:r w:rsidR="00B521EC">
        <w:rPr>
          <w:rFonts w:cstheme="minorHAnsi"/>
        </w:rPr>
        <w:t xml:space="preserve">public health. </w:t>
      </w:r>
      <w:r w:rsidR="00CD0F60">
        <w:rPr>
          <w:rFonts w:cstheme="minorHAnsi"/>
        </w:rPr>
        <w:t>This pandemic may be time-bo</w:t>
      </w:r>
      <w:r w:rsidR="00E5643F">
        <w:rPr>
          <w:rFonts w:cstheme="minorHAnsi"/>
        </w:rPr>
        <w:t>u</w:t>
      </w:r>
      <w:r w:rsidR="00CD0F60">
        <w:rPr>
          <w:rFonts w:cstheme="minorHAnsi"/>
        </w:rPr>
        <w:t xml:space="preserve">nd but the issue </w:t>
      </w:r>
      <w:r w:rsidR="000663A6">
        <w:rPr>
          <w:rFonts w:cstheme="minorHAnsi"/>
        </w:rPr>
        <w:t xml:space="preserve">is </w:t>
      </w:r>
      <w:r w:rsidR="00CD0F60">
        <w:rPr>
          <w:rFonts w:cstheme="minorHAnsi"/>
        </w:rPr>
        <w:t>systemic, as must be the world</w:t>
      </w:r>
      <w:r w:rsidR="00E5643F">
        <w:rPr>
          <w:rFonts w:cstheme="minorHAnsi"/>
        </w:rPr>
        <w:t>’</w:t>
      </w:r>
      <w:r w:rsidR="00CD0F60">
        <w:rPr>
          <w:rFonts w:cstheme="minorHAnsi"/>
        </w:rPr>
        <w:t xml:space="preserve">s response. </w:t>
      </w:r>
      <w:r w:rsidR="000663A6">
        <w:rPr>
          <w:rFonts w:cstheme="minorHAnsi"/>
        </w:rPr>
        <w:t>Looking forward, w</w:t>
      </w:r>
      <w:r w:rsidR="00E5643F">
        <w:rPr>
          <w:rFonts w:cstheme="minorHAnsi"/>
        </w:rPr>
        <w:t xml:space="preserve">e should accept nothing less than a radical, broad, well-resourced and sustained focus on </w:t>
      </w:r>
      <w:r>
        <w:rPr>
          <w:rFonts w:cstheme="minorHAnsi"/>
        </w:rPr>
        <w:t xml:space="preserve">public </w:t>
      </w:r>
      <w:r w:rsidR="00E5643F">
        <w:rPr>
          <w:rFonts w:cstheme="minorHAnsi"/>
        </w:rPr>
        <w:t>health</w:t>
      </w:r>
      <w:r w:rsidR="006A0794">
        <w:rPr>
          <w:rFonts w:cstheme="minorHAnsi"/>
        </w:rPr>
        <w:t>, on hea</w:t>
      </w:r>
      <w:r w:rsidR="00B15F00">
        <w:rPr>
          <w:rFonts w:cstheme="minorHAnsi"/>
        </w:rPr>
        <w:t>l</w:t>
      </w:r>
      <w:r w:rsidR="006A0794">
        <w:rPr>
          <w:rFonts w:cstheme="minorHAnsi"/>
        </w:rPr>
        <w:t>th systems</w:t>
      </w:r>
      <w:r w:rsidR="00FE73B6">
        <w:rPr>
          <w:rFonts w:cstheme="minorHAnsi"/>
        </w:rPr>
        <w:t xml:space="preserve"> and on public health professionals;</w:t>
      </w:r>
      <w:r w:rsidR="00E5643F">
        <w:rPr>
          <w:rFonts w:cstheme="minorHAnsi"/>
        </w:rPr>
        <w:t xml:space="preserve"> </w:t>
      </w:r>
      <w:r w:rsidR="00B521EC">
        <w:rPr>
          <w:rFonts w:cstheme="minorHAnsi"/>
        </w:rPr>
        <w:t>particu</w:t>
      </w:r>
      <w:r w:rsidR="00E5643F">
        <w:rPr>
          <w:rFonts w:cstheme="minorHAnsi"/>
        </w:rPr>
        <w:t>l</w:t>
      </w:r>
      <w:r w:rsidR="00B521EC">
        <w:rPr>
          <w:rFonts w:cstheme="minorHAnsi"/>
        </w:rPr>
        <w:t xml:space="preserve">arly </w:t>
      </w:r>
      <w:r w:rsidR="00E5643F">
        <w:rPr>
          <w:rFonts w:cstheme="minorHAnsi"/>
        </w:rPr>
        <w:t>the health of the most vulnerable w</w:t>
      </w:r>
      <w:r w:rsidR="00B521EC" w:rsidRPr="00AF42DD">
        <w:rPr>
          <w:rFonts w:cstheme="minorHAnsi"/>
        </w:rPr>
        <w:t xml:space="preserve">omen, </w:t>
      </w:r>
      <w:r w:rsidR="00E5643F">
        <w:rPr>
          <w:rFonts w:cstheme="minorHAnsi"/>
        </w:rPr>
        <w:t>c</w:t>
      </w:r>
      <w:r w:rsidR="00B521EC" w:rsidRPr="00AF42DD">
        <w:rPr>
          <w:rFonts w:cstheme="minorHAnsi"/>
        </w:rPr>
        <w:t>hildren</w:t>
      </w:r>
      <w:r w:rsidR="00E5643F">
        <w:rPr>
          <w:rFonts w:cstheme="minorHAnsi"/>
        </w:rPr>
        <w:t xml:space="preserve"> and</w:t>
      </w:r>
      <w:r w:rsidR="00B521EC" w:rsidRPr="00AF42DD">
        <w:rPr>
          <w:rFonts w:cstheme="minorHAnsi"/>
        </w:rPr>
        <w:t xml:space="preserve"> </w:t>
      </w:r>
      <w:r w:rsidR="00E5643F">
        <w:rPr>
          <w:rFonts w:cstheme="minorHAnsi"/>
        </w:rPr>
        <w:t>a</w:t>
      </w:r>
      <w:r w:rsidR="00B521EC" w:rsidRPr="00AF42DD">
        <w:rPr>
          <w:rFonts w:cstheme="minorHAnsi"/>
        </w:rPr>
        <w:t>dolescents</w:t>
      </w:r>
      <w:r w:rsidR="00E5643F">
        <w:rPr>
          <w:rFonts w:cstheme="minorHAnsi"/>
        </w:rPr>
        <w:t xml:space="preserve">. Partnerships in global health have never </w:t>
      </w:r>
      <w:r w:rsidR="006A0794">
        <w:rPr>
          <w:rFonts w:cstheme="minorHAnsi"/>
        </w:rPr>
        <w:t xml:space="preserve">been </w:t>
      </w:r>
      <w:r w:rsidR="00E5643F">
        <w:rPr>
          <w:rFonts w:cstheme="minorHAnsi"/>
        </w:rPr>
        <w:t xml:space="preserve">more </w:t>
      </w:r>
      <w:r w:rsidR="00E5643F" w:rsidRPr="00A95BB4">
        <w:rPr>
          <w:rFonts w:cstheme="minorHAnsi"/>
        </w:rPr>
        <w:t>important</w:t>
      </w:r>
      <w:r w:rsidR="006A0794" w:rsidRPr="00A95BB4">
        <w:rPr>
          <w:rFonts w:cstheme="minorHAnsi"/>
        </w:rPr>
        <w:t>; and nor has the voice of PMNCH and its 1,000 members</w:t>
      </w:r>
      <w:r w:rsidR="00E5643F" w:rsidRPr="00A95BB4">
        <w:rPr>
          <w:rFonts w:cstheme="minorHAnsi"/>
        </w:rPr>
        <w:t>.</w:t>
      </w:r>
    </w:p>
    <w:p w14:paraId="7BB1D346" w14:textId="74618797" w:rsidR="00527FB9" w:rsidRDefault="00527FB9" w:rsidP="00AF42DD">
      <w:pPr>
        <w:pStyle w:val="ListParagraph"/>
        <w:ind w:left="0"/>
        <w:jc w:val="both"/>
        <w:rPr>
          <w:rFonts w:cstheme="minorHAnsi"/>
        </w:rPr>
      </w:pPr>
    </w:p>
    <w:p w14:paraId="7E90ACD8" w14:textId="508FCCF1" w:rsidR="00DF3399" w:rsidRPr="00275B4C" w:rsidRDefault="00B27598" w:rsidP="00AF42DD">
      <w:pPr>
        <w:jc w:val="both"/>
        <w:rPr>
          <w:rFonts w:cstheme="minorHAnsi"/>
          <w:color w:val="2F5496" w:themeColor="accent1" w:themeShade="BF"/>
        </w:rPr>
      </w:pPr>
      <w:r>
        <w:rPr>
          <w:rFonts w:cstheme="minorHAnsi"/>
          <w:b/>
          <w:bCs/>
          <w:color w:val="2F5496" w:themeColor="accent1" w:themeShade="BF"/>
        </w:rPr>
        <w:t>PMNCH</w:t>
      </w:r>
      <w:r w:rsidR="00500B66">
        <w:rPr>
          <w:rFonts w:cstheme="minorHAnsi"/>
          <w:b/>
          <w:bCs/>
          <w:color w:val="2F5496" w:themeColor="accent1" w:themeShade="BF"/>
        </w:rPr>
        <w:t xml:space="preserve"> in</w:t>
      </w:r>
      <w:r>
        <w:rPr>
          <w:rFonts w:cstheme="minorHAnsi"/>
          <w:b/>
          <w:bCs/>
          <w:color w:val="2F5496" w:themeColor="accent1" w:themeShade="BF"/>
        </w:rPr>
        <w:t xml:space="preserve"> the g</w:t>
      </w:r>
      <w:r w:rsidR="00DF3399" w:rsidRPr="00275B4C">
        <w:rPr>
          <w:rFonts w:cstheme="minorHAnsi"/>
          <w:b/>
          <w:bCs/>
          <w:color w:val="2F5496" w:themeColor="accent1" w:themeShade="BF"/>
        </w:rPr>
        <w:t>lobal health landscape</w:t>
      </w:r>
    </w:p>
    <w:p w14:paraId="6130D451" w14:textId="45E77D14" w:rsidR="00260783" w:rsidRDefault="00260783" w:rsidP="00AF42DD">
      <w:pPr>
        <w:contextualSpacing/>
        <w:jc w:val="both"/>
        <w:rPr>
          <w:rFonts w:eastAsia="Times New Roman" w:cstheme="minorHAnsi"/>
        </w:rPr>
      </w:pPr>
    </w:p>
    <w:p w14:paraId="3917842A" w14:textId="58A809B5" w:rsidR="002A7B71" w:rsidRDefault="009E1B77" w:rsidP="00AF42DD">
      <w:pPr>
        <w:contextualSpacing/>
        <w:jc w:val="both"/>
        <w:rPr>
          <w:rFonts w:eastAsia="Times New Roman" w:cstheme="minorHAnsi"/>
        </w:rPr>
      </w:pPr>
      <w:r>
        <w:rPr>
          <w:rFonts w:eastAsia="Times New Roman" w:cstheme="minorHAnsi"/>
        </w:rPr>
        <w:t>The global health landscape has proliferated over the decade and a half of PMNCH’s existence. With governme</w:t>
      </w:r>
      <w:r w:rsidR="00B15F00">
        <w:rPr>
          <w:rFonts w:eastAsia="Times New Roman" w:cstheme="minorHAnsi"/>
        </w:rPr>
        <w:t>nt</w:t>
      </w:r>
      <w:r>
        <w:rPr>
          <w:rFonts w:eastAsia="Times New Roman" w:cstheme="minorHAnsi"/>
        </w:rPr>
        <w:t>s at its centre, supported by a range of actors playing roles in research, normative guidance, advocacy, financing and the delivery of services</w:t>
      </w:r>
      <w:r w:rsidR="002A7B71">
        <w:rPr>
          <w:rFonts w:eastAsia="Times New Roman" w:cstheme="minorHAnsi"/>
        </w:rPr>
        <w:t>. WHO and the UN Funds and Progra</w:t>
      </w:r>
      <w:r w:rsidR="00B15F00">
        <w:rPr>
          <w:rFonts w:eastAsia="Times New Roman" w:cstheme="minorHAnsi"/>
        </w:rPr>
        <w:t>m</w:t>
      </w:r>
      <w:r w:rsidR="002A7B71">
        <w:rPr>
          <w:rFonts w:eastAsia="Times New Roman" w:cstheme="minorHAnsi"/>
        </w:rPr>
        <w:t>mes are providing normative and technical leadership and the International Financi</w:t>
      </w:r>
      <w:r w:rsidR="00B15F00">
        <w:rPr>
          <w:rFonts w:eastAsia="Times New Roman" w:cstheme="minorHAnsi"/>
        </w:rPr>
        <w:t>al</w:t>
      </w:r>
      <w:r w:rsidR="002A7B71">
        <w:rPr>
          <w:rFonts w:eastAsia="Times New Roman" w:cstheme="minorHAnsi"/>
        </w:rPr>
        <w:t xml:space="preserve"> Institutions and the thematic funds </w:t>
      </w:r>
      <w:r w:rsidR="00B15F00">
        <w:rPr>
          <w:rFonts w:eastAsia="Times New Roman" w:cstheme="minorHAnsi"/>
        </w:rPr>
        <w:t xml:space="preserve">providing </w:t>
      </w:r>
      <w:r w:rsidR="002A7B71">
        <w:rPr>
          <w:rFonts w:eastAsia="Times New Roman" w:cstheme="minorHAnsi"/>
        </w:rPr>
        <w:t xml:space="preserve">international funding complementary to domestic </w:t>
      </w:r>
      <w:proofErr w:type="gramStart"/>
      <w:r w:rsidR="002A7B71">
        <w:rPr>
          <w:rFonts w:eastAsia="Times New Roman" w:cstheme="minorHAnsi"/>
        </w:rPr>
        <w:t>budgets.</w:t>
      </w:r>
      <w:proofErr w:type="gramEnd"/>
      <w:r w:rsidR="002A7B71">
        <w:rPr>
          <w:rFonts w:eastAsia="Times New Roman" w:cstheme="minorHAnsi"/>
        </w:rPr>
        <w:t xml:space="preserve"> An</w:t>
      </w:r>
      <w:r>
        <w:rPr>
          <w:rFonts w:eastAsia="Times New Roman" w:cstheme="minorHAnsi"/>
        </w:rPr>
        <w:t xml:space="preserve"> increasing</w:t>
      </w:r>
      <w:r w:rsidR="002A7B71">
        <w:rPr>
          <w:rFonts w:eastAsia="Times New Roman" w:cstheme="minorHAnsi"/>
        </w:rPr>
        <w:t xml:space="preserve"> number </w:t>
      </w:r>
      <w:proofErr w:type="gramStart"/>
      <w:r w:rsidR="002A7B71">
        <w:rPr>
          <w:rFonts w:eastAsia="Times New Roman" w:cstheme="minorHAnsi"/>
        </w:rPr>
        <w:t xml:space="preserve">of </w:t>
      </w:r>
      <w:r>
        <w:rPr>
          <w:rFonts w:eastAsia="Times New Roman" w:cstheme="minorHAnsi"/>
        </w:rPr>
        <w:t xml:space="preserve"> partnerships</w:t>
      </w:r>
      <w:proofErr w:type="gramEnd"/>
      <w:r>
        <w:rPr>
          <w:rFonts w:eastAsia="Times New Roman" w:cstheme="minorHAnsi"/>
        </w:rPr>
        <w:t xml:space="preserve"> </w:t>
      </w:r>
      <w:r w:rsidR="002A7B71">
        <w:rPr>
          <w:rFonts w:eastAsia="Times New Roman" w:cstheme="minorHAnsi"/>
        </w:rPr>
        <w:t xml:space="preserve">cover </w:t>
      </w:r>
      <w:r>
        <w:rPr>
          <w:rFonts w:eastAsia="Times New Roman" w:cstheme="minorHAnsi"/>
        </w:rPr>
        <w:t xml:space="preserve">different areas of thematic interest. </w:t>
      </w:r>
    </w:p>
    <w:p w14:paraId="70D8AF02" w14:textId="77777777" w:rsidR="002A7B71" w:rsidRDefault="002A7B71" w:rsidP="00AF42DD">
      <w:pPr>
        <w:contextualSpacing/>
        <w:jc w:val="both"/>
        <w:rPr>
          <w:rFonts w:eastAsia="Times New Roman" w:cstheme="minorHAnsi"/>
        </w:rPr>
      </w:pPr>
    </w:p>
    <w:p w14:paraId="5321F500" w14:textId="32F40844" w:rsidR="002A7B71" w:rsidRDefault="00F33773" w:rsidP="00AF42DD">
      <w:pPr>
        <w:contextualSpacing/>
        <w:jc w:val="both"/>
        <w:rPr>
          <w:rFonts w:eastAsia="Times New Roman" w:cstheme="minorHAnsi"/>
        </w:rPr>
      </w:pPr>
      <w:r>
        <w:rPr>
          <w:rFonts w:eastAsia="Times New Roman" w:cstheme="minorHAnsi"/>
        </w:rPr>
        <w:t>It is a landscape in many ways not built for 21</w:t>
      </w:r>
      <w:r w:rsidRPr="008D14C5">
        <w:rPr>
          <w:rFonts w:eastAsia="Times New Roman" w:cstheme="minorHAnsi"/>
          <w:vertAlign w:val="superscript"/>
        </w:rPr>
        <w:t>st</w:t>
      </w:r>
      <w:r>
        <w:rPr>
          <w:rFonts w:eastAsia="Times New Roman" w:cstheme="minorHAnsi"/>
        </w:rPr>
        <w:t xml:space="preserve"> Century challenges: new economic, social and health challenges, foremost of which is climate change</w:t>
      </w:r>
      <w:r w:rsidR="00B15F00">
        <w:rPr>
          <w:rFonts w:eastAsia="Times New Roman" w:cstheme="minorHAnsi"/>
        </w:rPr>
        <w:t xml:space="preserve"> and now the COVID-19 pandemic</w:t>
      </w:r>
      <w:r>
        <w:rPr>
          <w:rFonts w:eastAsia="Times New Roman" w:cstheme="minorHAnsi"/>
        </w:rPr>
        <w:t xml:space="preserve">; sustained structural inequalities, worsening in many regions; a weakening of traditional institutions, and, in many countries, democratic and civic space. In this landscape – fragmented and with </w:t>
      </w:r>
      <w:r w:rsidR="009E1B77">
        <w:rPr>
          <w:rFonts w:eastAsia="Times New Roman" w:cstheme="minorHAnsi"/>
        </w:rPr>
        <w:t>multiple competing</w:t>
      </w:r>
      <w:r>
        <w:rPr>
          <w:rFonts w:eastAsia="Times New Roman" w:cstheme="minorHAnsi"/>
        </w:rPr>
        <w:t xml:space="preserve"> aims and interests – PMNCH plays a unique role</w:t>
      </w:r>
      <w:r w:rsidR="002A7B71">
        <w:rPr>
          <w:rFonts w:eastAsia="Times New Roman" w:cstheme="minorHAnsi"/>
        </w:rPr>
        <w:t xml:space="preserve"> as a partnership</w:t>
      </w:r>
      <w:r>
        <w:rPr>
          <w:rFonts w:eastAsia="Times New Roman" w:cstheme="minorHAnsi"/>
        </w:rPr>
        <w:t xml:space="preserve">: aligning </w:t>
      </w:r>
      <w:r w:rsidR="009E1B77">
        <w:rPr>
          <w:rFonts w:eastAsia="Times New Roman" w:cstheme="minorHAnsi"/>
        </w:rPr>
        <w:t xml:space="preserve">diverse </w:t>
      </w:r>
      <w:r>
        <w:rPr>
          <w:rFonts w:eastAsia="Times New Roman" w:cstheme="minorHAnsi"/>
        </w:rPr>
        <w:t xml:space="preserve">partners around the importance of women’s, children’s and adolescents’ health, </w:t>
      </w:r>
      <w:r w:rsidR="009E1B77">
        <w:rPr>
          <w:rFonts w:eastAsia="Times New Roman" w:cstheme="minorHAnsi"/>
        </w:rPr>
        <w:t xml:space="preserve">and </w:t>
      </w:r>
      <w:r>
        <w:rPr>
          <w:rFonts w:eastAsia="Times New Roman" w:cstheme="minorHAnsi"/>
        </w:rPr>
        <w:t>supporting evid</w:t>
      </w:r>
      <w:r w:rsidR="009E1B77">
        <w:rPr>
          <w:rFonts w:eastAsia="Times New Roman" w:cstheme="minorHAnsi"/>
        </w:rPr>
        <w:t>e</w:t>
      </w:r>
      <w:r>
        <w:rPr>
          <w:rFonts w:eastAsia="Times New Roman" w:cstheme="minorHAnsi"/>
        </w:rPr>
        <w:t>nce-based advocacy for change and ac</w:t>
      </w:r>
      <w:r w:rsidR="009E1B77">
        <w:rPr>
          <w:rFonts w:eastAsia="Times New Roman" w:cstheme="minorHAnsi"/>
        </w:rPr>
        <w:t>co</w:t>
      </w:r>
      <w:r>
        <w:rPr>
          <w:rFonts w:eastAsia="Times New Roman" w:cstheme="minorHAnsi"/>
        </w:rPr>
        <w:t>unt</w:t>
      </w:r>
      <w:r w:rsidR="009E1B77">
        <w:rPr>
          <w:rFonts w:eastAsia="Times New Roman" w:cstheme="minorHAnsi"/>
        </w:rPr>
        <w:t>ab</w:t>
      </w:r>
      <w:r>
        <w:rPr>
          <w:rFonts w:eastAsia="Times New Roman" w:cstheme="minorHAnsi"/>
        </w:rPr>
        <w:t>ility for outcomes. The next Section seeks to define PMNCH’s distinct value proposition in this complex world of new threats, and, indeed, opportunities.</w:t>
      </w:r>
    </w:p>
    <w:p w14:paraId="7B55C7BA" w14:textId="2F5395D9" w:rsidR="002A7B71" w:rsidRDefault="002A7B71" w:rsidP="00AF42DD">
      <w:pPr>
        <w:contextualSpacing/>
        <w:jc w:val="both"/>
        <w:rPr>
          <w:rFonts w:eastAsia="Times New Roman" w:cstheme="minorHAnsi"/>
        </w:rPr>
      </w:pPr>
    </w:p>
    <w:p w14:paraId="34A87794" w14:textId="77777777" w:rsidR="003D2FA1" w:rsidRDefault="003D2FA1" w:rsidP="00AF42DD">
      <w:pPr>
        <w:contextualSpacing/>
        <w:jc w:val="both"/>
        <w:rPr>
          <w:rFonts w:eastAsia="Times New Roman" w:cstheme="minorHAnsi"/>
        </w:rPr>
      </w:pPr>
    </w:p>
    <w:p w14:paraId="520C2BAB" w14:textId="5D7A85AF" w:rsidR="00A766EE" w:rsidRPr="00FE516C" w:rsidRDefault="00FE516C" w:rsidP="00FE516C">
      <w:pPr>
        <w:rPr>
          <w:rFonts w:cstheme="minorHAnsi"/>
          <w:b/>
          <w:bCs/>
          <w:color w:val="2F5496" w:themeColor="accent1" w:themeShade="BF"/>
        </w:rPr>
      </w:pPr>
      <w:r w:rsidRPr="00FE516C">
        <w:rPr>
          <w:rFonts w:cstheme="minorHAnsi"/>
          <w:b/>
          <w:bCs/>
          <w:color w:val="2F5496" w:themeColor="accent1" w:themeShade="BF"/>
        </w:rPr>
        <w:t>2.</w:t>
      </w:r>
      <w:r w:rsidRPr="00FE516C">
        <w:rPr>
          <w:rFonts w:cstheme="minorHAnsi"/>
          <w:b/>
          <w:bCs/>
          <w:color w:val="2F5496" w:themeColor="accent1" w:themeShade="BF"/>
        </w:rPr>
        <w:tab/>
      </w:r>
      <w:r w:rsidR="00A766EE" w:rsidRPr="00FE516C">
        <w:rPr>
          <w:rFonts w:cstheme="minorHAnsi"/>
          <w:b/>
          <w:bCs/>
          <w:color w:val="2F5496" w:themeColor="accent1" w:themeShade="BF"/>
        </w:rPr>
        <w:t>PMNCH VALUE PROPOSITION</w:t>
      </w:r>
      <w:r w:rsidR="00B56C76" w:rsidRPr="00FE516C">
        <w:rPr>
          <w:rFonts w:cstheme="minorHAnsi"/>
          <w:b/>
          <w:bCs/>
          <w:color w:val="2F5496" w:themeColor="accent1" w:themeShade="BF"/>
        </w:rPr>
        <w:tab/>
      </w:r>
    </w:p>
    <w:p w14:paraId="2A887FE4" w14:textId="3262D86C" w:rsidR="002C6FD9" w:rsidRPr="00C43018" w:rsidRDefault="002C6FD9" w:rsidP="00C43018">
      <w:pPr>
        <w:pStyle w:val="ListParagraph"/>
        <w:ind w:left="0"/>
        <w:jc w:val="both"/>
        <w:rPr>
          <w:rFonts w:cstheme="minorHAnsi"/>
          <w:bCs/>
        </w:rPr>
      </w:pPr>
    </w:p>
    <w:p w14:paraId="2835C0C4" w14:textId="3B3E3C45" w:rsidR="00275B4C" w:rsidRPr="00275B4C" w:rsidRDefault="00275B4C" w:rsidP="00C43018">
      <w:pPr>
        <w:pStyle w:val="ListParagraph"/>
        <w:ind w:left="0"/>
        <w:jc w:val="both"/>
        <w:rPr>
          <w:rFonts w:cstheme="minorHAnsi"/>
          <w:b/>
          <w:bCs/>
          <w:color w:val="2F5496" w:themeColor="accent1" w:themeShade="BF"/>
          <w:shd w:val="clear" w:color="auto" w:fill="FFFFFF"/>
        </w:rPr>
      </w:pPr>
      <w:r w:rsidRPr="00275B4C">
        <w:rPr>
          <w:rFonts w:cstheme="minorHAnsi"/>
          <w:b/>
          <w:bCs/>
          <w:color w:val="2F5496" w:themeColor="accent1" w:themeShade="BF"/>
          <w:shd w:val="clear" w:color="auto" w:fill="FFFFFF"/>
        </w:rPr>
        <w:t>Value Proposition</w:t>
      </w:r>
    </w:p>
    <w:p w14:paraId="3E22746E" w14:textId="77777777" w:rsidR="00275B4C" w:rsidRDefault="00275B4C" w:rsidP="00C43018">
      <w:pPr>
        <w:pStyle w:val="ListParagraph"/>
        <w:ind w:left="0"/>
        <w:jc w:val="both"/>
        <w:rPr>
          <w:rFonts w:cstheme="minorHAnsi"/>
          <w:shd w:val="clear" w:color="auto" w:fill="FFFFFF"/>
        </w:rPr>
      </w:pPr>
    </w:p>
    <w:p w14:paraId="6D8AE2F8" w14:textId="3130F48C" w:rsidR="004978C8" w:rsidRDefault="00C43018" w:rsidP="00C43018">
      <w:pPr>
        <w:pStyle w:val="ListParagraph"/>
        <w:ind w:left="0"/>
        <w:jc w:val="both"/>
        <w:rPr>
          <w:rFonts w:cstheme="minorHAnsi"/>
        </w:rPr>
      </w:pPr>
      <w:r w:rsidRPr="00C43018">
        <w:rPr>
          <w:rFonts w:cstheme="minorHAnsi"/>
          <w:shd w:val="clear" w:color="auto" w:fill="FFFFFF"/>
        </w:rPr>
        <w:t>PMNCH</w:t>
      </w:r>
      <w:r w:rsidR="00275B4C">
        <w:rPr>
          <w:rFonts w:cstheme="minorHAnsi"/>
          <w:shd w:val="clear" w:color="auto" w:fill="FFFFFF"/>
        </w:rPr>
        <w:t xml:space="preserve"> is the world’s largest alliance for women’s, children’s and adolescents’ health and well-being. </w:t>
      </w:r>
      <w:r w:rsidRPr="00C43018">
        <w:rPr>
          <w:rFonts w:cstheme="minorHAnsi"/>
          <w:shd w:val="clear" w:color="auto" w:fill="FFFFFF"/>
        </w:rPr>
        <w:t>It provides a platform for organi</w:t>
      </w:r>
      <w:r>
        <w:rPr>
          <w:rFonts w:cstheme="minorHAnsi"/>
          <w:shd w:val="clear" w:color="auto" w:fill="FFFFFF"/>
        </w:rPr>
        <w:t>s</w:t>
      </w:r>
      <w:r w:rsidRPr="00C43018">
        <w:rPr>
          <w:rFonts w:cstheme="minorHAnsi"/>
          <w:shd w:val="clear" w:color="auto" w:fill="FFFFFF"/>
        </w:rPr>
        <w:t xml:space="preserve">ations to align objectives, strategies and resources, and </w:t>
      </w:r>
      <w:r w:rsidR="00275B4C">
        <w:rPr>
          <w:rFonts w:cstheme="minorHAnsi"/>
          <w:shd w:val="clear" w:color="auto" w:fill="FFFFFF"/>
        </w:rPr>
        <w:t xml:space="preserve">to advocate for and deliver </w:t>
      </w:r>
      <w:r w:rsidRPr="00C43018">
        <w:rPr>
          <w:rFonts w:cstheme="minorHAnsi"/>
          <w:shd w:val="clear" w:color="auto" w:fill="FFFFFF"/>
        </w:rPr>
        <w:t>interventions to improve</w:t>
      </w:r>
      <w:r w:rsidRPr="00C43018">
        <w:rPr>
          <w:rFonts w:cstheme="minorHAnsi"/>
          <w:b/>
          <w:bCs/>
          <w:shd w:val="clear" w:color="auto" w:fill="FFFFFF"/>
        </w:rPr>
        <w:t xml:space="preserve"> </w:t>
      </w:r>
      <w:r w:rsidRPr="00C43018">
        <w:rPr>
          <w:rStyle w:val="Strong"/>
          <w:rFonts w:cstheme="minorHAnsi"/>
          <w:b w:val="0"/>
          <w:bCs w:val="0"/>
        </w:rPr>
        <w:t>maternal</w:t>
      </w:r>
      <w:r w:rsidRPr="00C43018">
        <w:rPr>
          <w:rFonts w:cstheme="minorHAnsi"/>
          <w:b/>
          <w:bCs/>
          <w:shd w:val="clear" w:color="auto" w:fill="FFFFFF"/>
        </w:rPr>
        <w:t xml:space="preserve">, </w:t>
      </w:r>
      <w:proofErr w:type="spellStart"/>
      <w:r w:rsidRPr="00C43018">
        <w:rPr>
          <w:rStyle w:val="Strong"/>
          <w:rFonts w:cstheme="minorHAnsi"/>
          <w:b w:val="0"/>
          <w:bCs w:val="0"/>
        </w:rPr>
        <w:t>newborn</w:t>
      </w:r>
      <w:proofErr w:type="spellEnd"/>
      <w:r w:rsidRPr="00C43018">
        <w:rPr>
          <w:rFonts w:cstheme="minorHAnsi"/>
          <w:b/>
          <w:bCs/>
          <w:shd w:val="clear" w:color="auto" w:fill="FFFFFF"/>
        </w:rPr>
        <w:t xml:space="preserve">, </w:t>
      </w:r>
      <w:r w:rsidRPr="00C43018">
        <w:rPr>
          <w:rFonts w:cstheme="minorHAnsi"/>
          <w:shd w:val="clear" w:color="auto" w:fill="FFFFFF"/>
        </w:rPr>
        <w:t>child and</w:t>
      </w:r>
      <w:r w:rsidRPr="00C43018">
        <w:rPr>
          <w:rFonts w:cstheme="minorHAnsi"/>
          <w:b/>
          <w:bCs/>
          <w:shd w:val="clear" w:color="auto" w:fill="FFFFFF"/>
        </w:rPr>
        <w:t xml:space="preserve"> </w:t>
      </w:r>
      <w:r w:rsidRPr="00C43018">
        <w:rPr>
          <w:rStyle w:val="Strong"/>
          <w:rFonts w:cstheme="minorHAnsi"/>
          <w:b w:val="0"/>
          <w:bCs w:val="0"/>
        </w:rPr>
        <w:t>adolescent health</w:t>
      </w:r>
      <w:r w:rsidRPr="00C43018">
        <w:rPr>
          <w:rFonts w:cstheme="minorHAnsi"/>
          <w:b/>
          <w:bCs/>
          <w:shd w:val="clear" w:color="auto" w:fill="FFFFFF"/>
        </w:rPr>
        <w:t>.</w:t>
      </w:r>
      <w:r w:rsidR="00275B4C">
        <w:rPr>
          <w:rFonts w:cstheme="minorHAnsi"/>
          <w:b/>
          <w:bCs/>
          <w:shd w:val="clear" w:color="auto" w:fill="FFFFFF"/>
        </w:rPr>
        <w:t xml:space="preserve"> </w:t>
      </w:r>
      <w:r w:rsidRPr="00C43018">
        <w:rPr>
          <w:rFonts w:cstheme="minorHAnsi"/>
        </w:rPr>
        <w:t xml:space="preserve">PMNCH’s </w:t>
      </w:r>
      <w:r>
        <w:rPr>
          <w:rFonts w:cstheme="minorHAnsi"/>
        </w:rPr>
        <w:t xml:space="preserve">core </w:t>
      </w:r>
      <w:r w:rsidRPr="00C43018">
        <w:rPr>
          <w:rFonts w:cstheme="minorHAnsi"/>
        </w:rPr>
        <w:t>v</w:t>
      </w:r>
      <w:r w:rsidR="004978C8" w:rsidRPr="00C43018">
        <w:rPr>
          <w:rFonts w:cstheme="minorHAnsi"/>
        </w:rPr>
        <w:t>alue proposition</w:t>
      </w:r>
      <w:r>
        <w:rPr>
          <w:rFonts w:cstheme="minorHAnsi"/>
        </w:rPr>
        <w:t xml:space="preserve"> is three-fold:</w:t>
      </w:r>
    </w:p>
    <w:p w14:paraId="79EFB43B" w14:textId="77777777" w:rsidR="00275B4C" w:rsidRPr="00C43018" w:rsidRDefault="00275B4C" w:rsidP="00C43018">
      <w:pPr>
        <w:pStyle w:val="ListParagraph"/>
        <w:ind w:left="0"/>
        <w:jc w:val="both"/>
        <w:rPr>
          <w:rFonts w:cstheme="minorHAnsi"/>
        </w:rPr>
      </w:pPr>
    </w:p>
    <w:p w14:paraId="043237A3" w14:textId="16E315C7" w:rsidR="00A766EE" w:rsidRPr="00275B4C" w:rsidRDefault="008A7838" w:rsidP="004D3225">
      <w:pPr>
        <w:numPr>
          <w:ilvl w:val="0"/>
          <w:numId w:val="14"/>
        </w:numPr>
        <w:tabs>
          <w:tab w:val="clear" w:pos="720"/>
          <w:tab w:val="num" w:pos="567"/>
        </w:tabs>
        <w:ind w:left="567"/>
        <w:contextualSpacing/>
        <w:jc w:val="both"/>
        <w:rPr>
          <w:rFonts w:cstheme="minorHAnsi"/>
          <w:iCs/>
        </w:rPr>
      </w:pPr>
      <w:r w:rsidRPr="00AD255C">
        <w:rPr>
          <w:noProof/>
        </w:rPr>
        <w:drawing>
          <wp:anchor distT="0" distB="0" distL="114300" distR="114300" simplePos="0" relativeHeight="251658240" behindDoc="0" locked="0" layoutInCell="1" allowOverlap="1" wp14:anchorId="08ADB043" wp14:editId="74B5AF5F">
            <wp:simplePos x="0" y="0"/>
            <wp:positionH relativeFrom="column">
              <wp:posOffset>2482850</wp:posOffset>
            </wp:positionH>
            <wp:positionV relativeFrom="paragraph">
              <wp:posOffset>33655</wp:posOffset>
            </wp:positionV>
            <wp:extent cx="3321685" cy="16192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1685"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B4C">
        <w:rPr>
          <w:rFonts w:cstheme="minorHAnsi"/>
          <w:bCs/>
          <w:iCs/>
          <w:u w:val="single"/>
        </w:rPr>
        <w:t>t</w:t>
      </w:r>
      <w:r w:rsidR="0059338E" w:rsidRPr="00275B4C">
        <w:rPr>
          <w:rFonts w:cstheme="minorHAnsi"/>
          <w:bCs/>
          <w:iCs/>
          <w:u w:val="single"/>
        </w:rPr>
        <w:t>hematic focus</w:t>
      </w:r>
      <w:r w:rsidR="00A766EE" w:rsidRPr="00275B4C">
        <w:rPr>
          <w:rFonts w:cstheme="minorHAnsi"/>
          <w:iCs/>
          <w:u w:val="single"/>
        </w:rPr>
        <w:t>:</w:t>
      </w:r>
      <w:r w:rsidR="00A766EE" w:rsidRPr="00275B4C">
        <w:rPr>
          <w:rFonts w:cstheme="minorHAnsi"/>
          <w:iCs/>
        </w:rPr>
        <w:t xml:space="preserve"> </w:t>
      </w:r>
      <w:r w:rsidR="00275B4C">
        <w:rPr>
          <w:rFonts w:cstheme="minorHAnsi"/>
          <w:iCs/>
        </w:rPr>
        <w:t>PMNCH is t</w:t>
      </w:r>
      <w:r w:rsidR="00A766EE" w:rsidRPr="00275B4C">
        <w:rPr>
          <w:rFonts w:cstheme="minorHAnsi"/>
          <w:iCs/>
        </w:rPr>
        <w:t xml:space="preserve">he </w:t>
      </w:r>
      <w:r w:rsidR="00A766EE" w:rsidRPr="00275B4C">
        <w:rPr>
          <w:rFonts w:eastAsia="Times New Roman" w:cstheme="minorHAnsi"/>
          <w:iCs/>
        </w:rPr>
        <w:t>only</w:t>
      </w:r>
      <w:r w:rsidR="00A766EE" w:rsidRPr="00275B4C">
        <w:rPr>
          <w:rFonts w:cstheme="minorHAnsi"/>
          <w:iCs/>
        </w:rPr>
        <w:t xml:space="preserve"> global health partnership focusing on </w:t>
      </w:r>
      <w:r w:rsidR="00275B4C">
        <w:rPr>
          <w:rFonts w:cstheme="minorHAnsi"/>
          <w:shd w:val="clear" w:color="auto" w:fill="FFFFFF"/>
        </w:rPr>
        <w:t>women’s, children’s and adolescents’ health</w:t>
      </w:r>
      <w:r w:rsidR="00080085">
        <w:rPr>
          <w:rFonts w:cstheme="minorHAnsi"/>
          <w:shd w:val="clear" w:color="auto" w:fill="FFFFFF"/>
        </w:rPr>
        <w:t xml:space="preserve"> and well-being</w:t>
      </w:r>
      <w:r w:rsidR="00275B4C">
        <w:rPr>
          <w:rFonts w:cstheme="minorHAnsi"/>
          <w:shd w:val="clear" w:color="auto" w:fill="FFFFFF"/>
        </w:rPr>
        <w:t xml:space="preserve"> and </w:t>
      </w:r>
      <w:r w:rsidR="00275B4C">
        <w:rPr>
          <w:rFonts w:cstheme="minorHAnsi"/>
          <w:iCs/>
        </w:rPr>
        <w:t>on</w:t>
      </w:r>
      <w:r w:rsidR="00A766EE" w:rsidRPr="00275B4C">
        <w:rPr>
          <w:rFonts w:cstheme="minorHAnsi"/>
          <w:iCs/>
        </w:rPr>
        <w:t xml:space="preserve"> the continuum of care</w:t>
      </w:r>
      <w:r w:rsidR="00275B4C">
        <w:rPr>
          <w:rFonts w:cstheme="minorHAnsi"/>
          <w:iCs/>
        </w:rPr>
        <w:t>;</w:t>
      </w:r>
    </w:p>
    <w:p w14:paraId="61F620C3" w14:textId="533A71AF" w:rsidR="00A766EE" w:rsidRPr="00275B4C" w:rsidRDefault="00275B4C" w:rsidP="004D3225">
      <w:pPr>
        <w:numPr>
          <w:ilvl w:val="0"/>
          <w:numId w:val="14"/>
        </w:numPr>
        <w:tabs>
          <w:tab w:val="clear" w:pos="720"/>
          <w:tab w:val="num" w:pos="567"/>
        </w:tabs>
        <w:ind w:left="567"/>
        <w:contextualSpacing/>
        <w:jc w:val="both"/>
        <w:rPr>
          <w:rFonts w:cstheme="minorHAnsi"/>
          <w:iCs/>
        </w:rPr>
      </w:pPr>
      <w:r>
        <w:rPr>
          <w:rFonts w:cstheme="minorHAnsi"/>
          <w:bCs/>
          <w:iCs/>
          <w:u w:val="single"/>
        </w:rPr>
        <w:t>b</w:t>
      </w:r>
      <w:r w:rsidR="00A766EE" w:rsidRPr="00275B4C">
        <w:rPr>
          <w:rFonts w:cstheme="minorHAnsi"/>
          <w:bCs/>
          <w:iCs/>
          <w:u w:val="single"/>
        </w:rPr>
        <w:t>readth of the Partnership</w:t>
      </w:r>
      <w:r w:rsidR="00A766EE" w:rsidRPr="00275B4C">
        <w:rPr>
          <w:rFonts w:cstheme="minorHAnsi"/>
          <w:iCs/>
          <w:u w:val="single"/>
        </w:rPr>
        <w:t>:</w:t>
      </w:r>
      <w:r w:rsidR="00A766EE" w:rsidRPr="00275B4C">
        <w:rPr>
          <w:rFonts w:cstheme="minorHAnsi"/>
          <w:iCs/>
        </w:rPr>
        <w:t xml:space="preserve"> </w:t>
      </w:r>
      <w:r>
        <w:rPr>
          <w:rFonts w:cstheme="minorHAnsi"/>
          <w:iCs/>
        </w:rPr>
        <w:t>PMNCH</w:t>
      </w:r>
      <w:r w:rsidR="00080085">
        <w:rPr>
          <w:rFonts w:cstheme="minorHAnsi"/>
          <w:iCs/>
        </w:rPr>
        <w:t>, as of 2020,</w:t>
      </w:r>
      <w:r>
        <w:rPr>
          <w:rFonts w:cstheme="minorHAnsi"/>
          <w:iCs/>
        </w:rPr>
        <w:t xml:space="preserve"> has</w:t>
      </w:r>
      <w:r w:rsidR="001864B0" w:rsidRPr="00275B4C">
        <w:rPr>
          <w:rFonts w:cstheme="minorHAnsi"/>
          <w:iCs/>
        </w:rPr>
        <w:t xml:space="preserve"> </w:t>
      </w:r>
      <w:r w:rsidR="00A766EE" w:rsidRPr="00275B4C">
        <w:rPr>
          <w:rFonts w:cstheme="minorHAnsi"/>
          <w:iCs/>
        </w:rPr>
        <w:t>more than 1,000 partners</w:t>
      </w:r>
      <w:r>
        <w:rPr>
          <w:rFonts w:cstheme="minorHAnsi"/>
          <w:iCs/>
        </w:rPr>
        <w:t>, organised into ten</w:t>
      </w:r>
      <w:r w:rsidRPr="00275B4C">
        <w:rPr>
          <w:rFonts w:cstheme="minorHAnsi"/>
          <w:iCs/>
        </w:rPr>
        <w:t xml:space="preserve"> </w:t>
      </w:r>
      <w:r w:rsidRPr="00275B4C">
        <w:rPr>
          <w:rFonts w:eastAsia="Times New Roman" w:cstheme="minorHAnsi"/>
          <w:iCs/>
        </w:rPr>
        <w:t>constituencies</w:t>
      </w:r>
      <w:r w:rsidR="00101E98">
        <w:rPr>
          <w:rFonts w:eastAsia="Times New Roman" w:cstheme="minorHAnsi"/>
          <w:iCs/>
        </w:rPr>
        <w:t xml:space="preserve"> (see opposite)</w:t>
      </w:r>
      <w:r>
        <w:rPr>
          <w:rFonts w:eastAsia="Times New Roman" w:cstheme="minorHAnsi"/>
          <w:iCs/>
        </w:rPr>
        <w:t>,</w:t>
      </w:r>
      <w:r w:rsidR="00A766EE" w:rsidRPr="00275B4C">
        <w:rPr>
          <w:rFonts w:cstheme="minorHAnsi"/>
          <w:iCs/>
        </w:rPr>
        <w:t xml:space="preserve"> across 1</w:t>
      </w:r>
      <w:r w:rsidR="000E660C" w:rsidRPr="00275B4C">
        <w:rPr>
          <w:rFonts w:cstheme="minorHAnsi"/>
          <w:iCs/>
        </w:rPr>
        <w:t>92</w:t>
      </w:r>
      <w:r w:rsidR="00A766EE" w:rsidRPr="00275B4C">
        <w:rPr>
          <w:rFonts w:cstheme="minorHAnsi"/>
          <w:iCs/>
        </w:rPr>
        <w:t xml:space="preserve"> countries; no other partnership has the breadth, diversity and penetration of PMNCH</w:t>
      </w:r>
      <w:r>
        <w:rPr>
          <w:rFonts w:cstheme="minorHAnsi"/>
          <w:iCs/>
        </w:rPr>
        <w:t>;</w:t>
      </w:r>
    </w:p>
    <w:p w14:paraId="3CC317CA" w14:textId="79C9DB13" w:rsidR="00A766EE" w:rsidRPr="00275B4C" w:rsidRDefault="00275B4C" w:rsidP="004D3225">
      <w:pPr>
        <w:numPr>
          <w:ilvl w:val="0"/>
          <w:numId w:val="14"/>
        </w:numPr>
        <w:tabs>
          <w:tab w:val="clear" w:pos="720"/>
          <w:tab w:val="num" w:pos="567"/>
        </w:tabs>
        <w:ind w:left="567"/>
        <w:contextualSpacing/>
        <w:jc w:val="both"/>
        <w:rPr>
          <w:rFonts w:cstheme="minorHAnsi"/>
          <w:iCs/>
        </w:rPr>
      </w:pPr>
      <w:r>
        <w:rPr>
          <w:rFonts w:cstheme="minorHAnsi"/>
          <w:bCs/>
          <w:iCs/>
          <w:u w:val="single"/>
        </w:rPr>
        <w:t>c</w:t>
      </w:r>
      <w:r w:rsidR="00A766EE" w:rsidRPr="00275B4C">
        <w:rPr>
          <w:rFonts w:cstheme="minorHAnsi"/>
          <w:bCs/>
          <w:iCs/>
          <w:u w:val="single"/>
        </w:rPr>
        <w:t>onvening power</w:t>
      </w:r>
      <w:r w:rsidR="00A766EE" w:rsidRPr="00275B4C">
        <w:rPr>
          <w:rFonts w:cstheme="minorHAnsi"/>
          <w:iCs/>
          <w:u w:val="single"/>
        </w:rPr>
        <w:t>:</w:t>
      </w:r>
      <w:r w:rsidR="00A766EE" w:rsidRPr="00275B4C">
        <w:rPr>
          <w:rFonts w:cstheme="minorHAnsi"/>
          <w:iCs/>
        </w:rPr>
        <w:t xml:space="preserve"> </w:t>
      </w:r>
      <w:r w:rsidR="00260783" w:rsidRPr="00275B4C">
        <w:rPr>
          <w:rFonts w:cstheme="minorHAnsi"/>
          <w:iCs/>
        </w:rPr>
        <w:t>P</w:t>
      </w:r>
      <w:r>
        <w:rPr>
          <w:rFonts w:cstheme="minorHAnsi"/>
          <w:iCs/>
        </w:rPr>
        <w:t>MNCH has the p</w:t>
      </w:r>
      <w:r w:rsidR="00A766EE" w:rsidRPr="00275B4C">
        <w:rPr>
          <w:rFonts w:cstheme="minorHAnsi"/>
          <w:iCs/>
        </w:rPr>
        <w:t xml:space="preserve">ower to </w:t>
      </w:r>
      <w:r w:rsidR="00A766EE" w:rsidRPr="00275B4C">
        <w:rPr>
          <w:rFonts w:eastAsia="Times New Roman" w:cstheme="minorHAnsi"/>
          <w:iCs/>
        </w:rPr>
        <w:t>convene</w:t>
      </w:r>
      <w:r w:rsidR="00A766EE" w:rsidRPr="00275B4C">
        <w:rPr>
          <w:rFonts w:cstheme="minorHAnsi"/>
          <w:iCs/>
        </w:rPr>
        <w:t xml:space="preserve"> at the highest level </w:t>
      </w:r>
      <w:r>
        <w:rPr>
          <w:rFonts w:cstheme="minorHAnsi"/>
          <w:iCs/>
        </w:rPr>
        <w:t>and</w:t>
      </w:r>
      <w:r w:rsidR="00A766EE" w:rsidRPr="00275B4C">
        <w:rPr>
          <w:rFonts w:cstheme="minorHAnsi"/>
          <w:iCs/>
        </w:rPr>
        <w:t xml:space="preserve"> execute with pace and urgency through a global network of partners</w:t>
      </w:r>
      <w:r w:rsidR="002B4886" w:rsidRPr="00275B4C">
        <w:rPr>
          <w:rFonts w:cstheme="minorHAnsi"/>
          <w:iCs/>
        </w:rPr>
        <w:t xml:space="preserve"> (country, regional, global levels)</w:t>
      </w:r>
      <w:r w:rsidR="00C361F1">
        <w:rPr>
          <w:rFonts w:cstheme="minorHAnsi"/>
          <w:iCs/>
        </w:rPr>
        <w:t>; hosted by the World Health Organisation (WHO) but with independen</w:t>
      </w:r>
      <w:r w:rsidR="00896724">
        <w:rPr>
          <w:rFonts w:cstheme="minorHAnsi"/>
          <w:iCs/>
        </w:rPr>
        <w:t>t</w:t>
      </w:r>
      <w:r w:rsidR="00C361F1">
        <w:rPr>
          <w:rFonts w:cstheme="minorHAnsi"/>
          <w:iCs/>
        </w:rPr>
        <w:t xml:space="preserve"> governance and with the richness and breadth of its large, diverse Constituency membership</w:t>
      </w:r>
      <w:r w:rsidR="00101E98">
        <w:rPr>
          <w:rFonts w:cstheme="minorHAnsi"/>
          <w:iCs/>
        </w:rPr>
        <w:t>.</w:t>
      </w:r>
    </w:p>
    <w:p w14:paraId="237482EA" w14:textId="32368F69" w:rsidR="00B56C76" w:rsidRPr="00AE5F86" w:rsidRDefault="00B56C76" w:rsidP="002C6FD9">
      <w:pPr>
        <w:pStyle w:val="ListParagraph"/>
        <w:ind w:left="709"/>
        <w:jc w:val="both"/>
        <w:rPr>
          <w:rFonts w:cstheme="minorHAnsi"/>
          <w:b/>
          <w:bCs/>
          <w:color w:val="2F5496" w:themeColor="accent1" w:themeShade="BF"/>
        </w:rPr>
      </w:pPr>
    </w:p>
    <w:p w14:paraId="0D0426EB" w14:textId="75622788" w:rsidR="001A120F" w:rsidRPr="00AE5F86" w:rsidRDefault="00AE5F86" w:rsidP="001A120F">
      <w:pPr>
        <w:pStyle w:val="ListParagraph"/>
        <w:ind w:left="0"/>
        <w:jc w:val="both"/>
        <w:rPr>
          <w:rFonts w:cstheme="minorHAnsi"/>
          <w:b/>
          <w:bCs/>
          <w:color w:val="2F5496" w:themeColor="accent1" w:themeShade="BF"/>
        </w:rPr>
      </w:pPr>
      <w:r w:rsidRPr="00AE5F86">
        <w:rPr>
          <w:rFonts w:cstheme="minorHAnsi"/>
          <w:b/>
          <w:bCs/>
          <w:color w:val="2F5496" w:themeColor="accent1" w:themeShade="BF"/>
        </w:rPr>
        <w:t>Shaping the global respon</w:t>
      </w:r>
      <w:r w:rsidR="004D2621">
        <w:rPr>
          <w:rFonts w:cstheme="minorHAnsi"/>
          <w:b/>
          <w:bCs/>
          <w:color w:val="2F5496" w:themeColor="accent1" w:themeShade="BF"/>
        </w:rPr>
        <w:t>s</w:t>
      </w:r>
      <w:r w:rsidRPr="00AE5F86">
        <w:rPr>
          <w:rFonts w:cstheme="minorHAnsi"/>
          <w:b/>
          <w:bCs/>
          <w:color w:val="2F5496" w:themeColor="accent1" w:themeShade="BF"/>
        </w:rPr>
        <w:t xml:space="preserve">e to </w:t>
      </w:r>
      <w:r w:rsidRPr="00AE5F86">
        <w:rPr>
          <w:rFonts w:cstheme="minorHAnsi"/>
          <w:b/>
          <w:bCs/>
          <w:color w:val="2F5496" w:themeColor="accent1" w:themeShade="BF"/>
          <w:shd w:val="clear" w:color="auto" w:fill="FFFFFF"/>
        </w:rPr>
        <w:t>women’s, children’s and adolescents’ health</w:t>
      </w:r>
      <w:r w:rsidR="008A7838" w:rsidRPr="00AE5F86">
        <w:rPr>
          <w:rFonts w:cstheme="minorHAnsi"/>
          <w:b/>
          <w:bCs/>
          <w:color w:val="2F5496" w:themeColor="accent1" w:themeShade="BF"/>
        </w:rPr>
        <w:t xml:space="preserve"> (2</w:t>
      </w:r>
      <w:r w:rsidRPr="00AE5F86">
        <w:rPr>
          <w:rFonts w:cstheme="minorHAnsi"/>
          <w:b/>
          <w:bCs/>
          <w:color w:val="2F5496" w:themeColor="accent1" w:themeShade="BF"/>
        </w:rPr>
        <w:t>021-2025)</w:t>
      </w:r>
    </w:p>
    <w:p w14:paraId="3BB89BA2" w14:textId="1387398C" w:rsidR="00AE5F86" w:rsidRDefault="00AE5F86" w:rsidP="001A120F">
      <w:pPr>
        <w:pStyle w:val="ListParagraph"/>
        <w:ind w:left="0"/>
        <w:jc w:val="both"/>
        <w:rPr>
          <w:rFonts w:cstheme="minorHAnsi"/>
        </w:rPr>
      </w:pPr>
    </w:p>
    <w:p w14:paraId="45B76F2C" w14:textId="6FDA38F5" w:rsidR="00AE5F86" w:rsidRDefault="00AE5F86" w:rsidP="001A120F">
      <w:pPr>
        <w:pStyle w:val="ListParagraph"/>
        <w:ind w:left="0"/>
        <w:jc w:val="both"/>
        <w:rPr>
          <w:rFonts w:cstheme="minorHAnsi"/>
        </w:rPr>
      </w:pPr>
      <w:r>
        <w:rPr>
          <w:rFonts w:cstheme="minorHAnsi"/>
        </w:rPr>
        <w:t xml:space="preserve">There are huge opportunities to shape a more effective global response to </w:t>
      </w:r>
      <w:r>
        <w:rPr>
          <w:rFonts w:cstheme="minorHAnsi"/>
          <w:shd w:val="clear" w:color="auto" w:fill="FFFFFF"/>
        </w:rPr>
        <w:t xml:space="preserve">women’s, children’s and adolescents’ health </w:t>
      </w:r>
      <w:r w:rsidR="00080085">
        <w:rPr>
          <w:rFonts w:cstheme="minorHAnsi"/>
          <w:shd w:val="clear" w:color="auto" w:fill="FFFFFF"/>
        </w:rPr>
        <w:t xml:space="preserve">and well-being </w:t>
      </w:r>
      <w:r>
        <w:rPr>
          <w:rFonts w:cstheme="minorHAnsi"/>
        </w:rPr>
        <w:t>over the coming five years</w:t>
      </w:r>
      <w:r w:rsidR="00990DF1">
        <w:rPr>
          <w:rFonts w:cstheme="minorHAnsi"/>
        </w:rPr>
        <w:t xml:space="preserve">: significant global progress in core indicators relating to </w:t>
      </w:r>
      <w:proofErr w:type="spellStart"/>
      <w:r w:rsidR="00990DF1">
        <w:rPr>
          <w:rFonts w:cstheme="minorHAnsi"/>
        </w:rPr>
        <w:t>materal</w:t>
      </w:r>
      <w:proofErr w:type="spellEnd"/>
      <w:r w:rsidR="00990DF1">
        <w:rPr>
          <w:rFonts w:cstheme="minorHAnsi"/>
        </w:rPr>
        <w:t xml:space="preserve"> and child mortality; rapid </w:t>
      </w:r>
      <w:r w:rsidR="004D2621">
        <w:rPr>
          <w:rFonts w:cstheme="minorHAnsi"/>
        </w:rPr>
        <w:t>advancement</w:t>
      </w:r>
      <w:r w:rsidR="00990DF1">
        <w:rPr>
          <w:rFonts w:cstheme="minorHAnsi"/>
        </w:rPr>
        <w:t>s in science and technologies for prevention and treatment of health conditions; an increasingly connected and digitally-enabled world reducing distance and increasing cooperation</w:t>
      </w:r>
      <w:r>
        <w:rPr>
          <w:rFonts w:cstheme="minorHAnsi"/>
        </w:rPr>
        <w:t xml:space="preserve">. </w:t>
      </w:r>
      <w:r w:rsidR="002A7B71">
        <w:rPr>
          <w:rFonts w:cstheme="minorHAnsi"/>
        </w:rPr>
        <w:t>And</w:t>
      </w:r>
      <w:r w:rsidR="00990DF1">
        <w:rPr>
          <w:rFonts w:cstheme="minorHAnsi"/>
        </w:rPr>
        <w:t xml:space="preserve"> a collective appreciation, as the world navigates </w:t>
      </w:r>
      <w:r w:rsidR="002A7B71">
        <w:rPr>
          <w:rFonts w:cstheme="minorHAnsi"/>
        </w:rPr>
        <w:t xml:space="preserve">in and </w:t>
      </w:r>
      <w:r w:rsidR="00990DF1">
        <w:rPr>
          <w:rFonts w:cstheme="minorHAnsi"/>
        </w:rPr>
        <w:t>a way out of the COVID-19 pa</w:t>
      </w:r>
      <w:r w:rsidR="00031B2E">
        <w:rPr>
          <w:rFonts w:cstheme="minorHAnsi"/>
        </w:rPr>
        <w:t>nd</w:t>
      </w:r>
      <w:r w:rsidR="00990DF1">
        <w:rPr>
          <w:rFonts w:cstheme="minorHAnsi"/>
        </w:rPr>
        <w:t>emic, of the importance and value of strong health systems,</w:t>
      </w:r>
      <w:r w:rsidR="004D2621">
        <w:rPr>
          <w:rFonts w:cstheme="minorHAnsi"/>
        </w:rPr>
        <w:t xml:space="preserve"> of</w:t>
      </w:r>
      <w:r w:rsidR="00990DF1">
        <w:rPr>
          <w:rFonts w:cstheme="minorHAnsi"/>
        </w:rPr>
        <w:t xml:space="preserve"> well-resourced health care professionals</w:t>
      </w:r>
      <w:r w:rsidR="004D2621">
        <w:rPr>
          <w:rFonts w:cstheme="minorHAnsi"/>
        </w:rPr>
        <w:t xml:space="preserve">, and of </w:t>
      </w:r>
      <w:r w:rsidR="00031B2E">
        <w:rPr>
          <w:rFonts w:cstheme="minorHAnsi"/>
        </w:rPr>
        <w:t xml:space="preserve">economic </w:t>
      </w:r>
      <w:r w:rsidR="004D2621">
        <w:rPr>
          <w:rFonts w:cstheme="minorHAnsi"/>
        </w:rPr>
        <w:t>safety nets for the most vulnerable.</w:t>
      </w:r>
      <w:r w:rsidR="00990DF1">
        <w:rPr>
          <w:rFonts w:cstheme="minorHAnsi"/>
        </w:rPr>
        <w:t xml:space="preserve"> </w:t>
      </w:r>
    </w:p>
    <w:p w14:paraId="070EFB28" w14:textId="77777777" w:rsidR="004D2621" w:rsidRDefault="004D2621" w:rsidP="001A120F">
      <w:pPr>
        <w:pStyle w:val="ListParagraph"/>
        <w:ind w:left="0"/>
        <w:jc w:val="both"/>
        <w:rPr>
          <w:rFonts w:cstheme="minorHAnsi"/>
        </w:rPr>
      </w:pPr>
    </w:p>
    <w:p w14:paraId="424773B6" w14:textId="08531684" w:rsidR="00275B4C" w:rsidRPr="004D2621" w:rsidRDefault="00AE5F86" w:rsidP="004D2621">
      <w:pPr>
        <w:pStyle w:val="ListParagraph"/>
        <w:ind w:left="0"/>
        <w:jc w:val="both"/>
        <w:rPr>
          <w:rFonts w:cstheme="minorHAnsi"/>
        </w:rPr>
      </w:pPr>
      <w:r w:rsidRPr="00AE5F86">
        <w:rPr>
          <w:rFonts w:cstheme="minorHAnsi"/>
          <w:noProof/>
        </w:rPr>
        <mc:AlternateContent>
          <mc:Choice Requires="wps">
            <w:drawing>
              <wp:inline distT="0" distB="0" distL="0" distR="0" wp14:anchorId="44F0F054" wp14:editId="15F06C53">
                <wp:extent cx="5692140" cy="1404620"/>
                <wp:effectExtent l="0" t="0" r="22860" b="2667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404620"/>
                        </a:xfrm>
                        <a:prstGeom prst="rect">
                          <a:avLst/>
                        </a:prstGeom>
                        <a:solidFill>
                          <a:schemeClr val="accent5">
                            <a:lumMod val="20000"/>
                            <a:lumOff val="80000"/>
                          </a:schemeClr>
                        </a:solidFill>
                        <a:ln w="9525">
                          <a:solidFill>
                            <a:srgbClr val="000000"/>
                          </a:solidFill>
                          <a:miter lim="800000"/>
                          <a:headEnd/>
                          <a:tailEnd/>
                        </a:ln>
                      </wps:spPr>
                      <wps:txbx>
                        <w:txbxContent>
                          <w:p w14:paraId="6FAD5259" w14:textId="241C43D3" w:rsidR="00B15F00" w:rsidRPr="004F5CB9" w:rsidRDefault="00B15F00" w:rsidP="00AE5F86">
                            <w:pPr>
                              <w:pStyle w:val="ListParagraph"/>
                              <w:ind w:left="0"/>
                              <w:jc w:val="center"/>
                              <w:rPr>
                                <w:rFonts w:cstheme="minorHAnsi"/>
                                <w:b/>
                                <w:bCs/>
                                <w:sz w:val="20"/>
                                <w:szCs w:val="20"/>
                              </w:rPr>
                            </w:pPr>
                            <w:r w:rsidRPr="004F5CB9">
                              <w:rPr>
                                <w:rFonts w:cstheme="minorHAnsi"/>
                                <w:b/>
                                <w:bCs/>
                                <w:sz w:val="20"/>
                                <w:szCs w:val="20"/>
                              </w:rPr>
                              <w:t>PMNCH’s achievements over the last decade</w:t>
                            </w:r>
                          </w:p>
                          <w:p w14:paraId="2AFFA898" w14:textId="0A797238" w:rsidR="00B15F00" w:rsidRPr="004F5CB9" w:rsidRDefault="00B15F00" w:rsidP="004F5CB9">
                            <w:pPr>
                              <w:pStyle w:val="ListParagraph"/>
                              <w:numPr>
                                <w:ilvl w:val="0"/>
                                <w:numId w:val="12"/>
                              </w:numPr>
                              <w:ind w:left="284" w:hanging="284"/>
                              <w:jc w:val="both"/>
                              <w:rPr>
                                <w:rFonts w:cstheme="minorHAnsi"/>
                                <w:sz w:val="20"/>
                                <w:szCs w:val="20"/>
                              </w:rPr>
                            </w:pPr>
                            <w:r w:rsidRPr="004F5CB9">
                              <w:rPr>
                                <w:rFonts w:eastAsia="Times New Roman" w:cstheme="minorHAnsi"/>
                                <w:color w:val="000000"/>
                                <w:sz w:val="20"/>
                                <w:szCs w:val="20"/>
                                <w:lang w:eastAsia="en-GB"/>
                              </w:rPr>
                              <w:t>giving voice to over 7,000 organizations worldwide by facilitating consultations on the SDGs for Health and on the ‘Every Woman Every Child’ Global Strategy for Women’s, Children’s and Adolescents’ Health</w:t>
                            </w:r>
                          </w:p>
                          <w:p w14:paraId="2CF38D1C" w14:textId="701F8783" w:rsidR="00B15F00" w:rsidRPr="004F5CB9"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building the ‘Every Women Every Child’ movement to orchestrate US$88 billion in concrete, measurable commitments for the Global Strategy since 2010, and tracking their progress</w:t>
                            </w:r>
                          </w:p>
                          <w:p w14:paraId="01EC47A5" w14:textId="77777777" w:rsidR="00896724" w:rsidRPr="00896724"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 xml:space="preserve">helping to secure global agreements between the 192 Member States of the United Nations through the UN General Assembly and the World Health Assembly (e.g. the SDGs and the ‘Every </w:t>
                            </w:r>
                            <w:proofErr w:type="spellStart"/>
                            <w:r w:rsidRPr="004F5CB9">
                              <w:rPr>
                                <w:rFonts w:eastAsia="Times New Roman" w:cstheme="minorHAnsi"/>
                                <w:color w:val="000000"/>
                                <w:sz w:val="20"/>
                                <w:szCs w:val="20"/>
                                <w:lang w:eastAsia="en-GB"/>
                              </w:rPr>
                              <w:t>Newborn</w:t>
                            </w:r>
                            <w:proofErr w:type="spellEnd"/>
                            <w:r w:rsidRPr="004F5CB9">
                              <w:rPr>
                                <w:rFonts w:eastAsia="Times New Roman" w:cstheme="minorHAnsi"/>
                                <w:color w:val="000000"/>
                                <w:sz w:val="20"/>
                                <w:szCs w:val="20"/>
                                <w:lang w:eastAsia="en-GB"/>
                              </w:rPr>
                              <w:t xml:space="preserve"> Action Plan’)</w:t>
                            </w:r>
                          </w:p>
                          <w:p w14:paraId="1679465D" w14:textId="51F36811" w:rsidR="00B15F00" w:rsidRPr="004F5CB9"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 xml:space="preserve">ensuring visibility of MNCH and </w:t>
                            </w:r>
                            <w:r>
                              <w:rPr>
                                <w:rFonts w:eastAsia="Times New Roman" w:cstheme="minorHAnsi"/>
                                <w:color w:val="000000"/>
                                <w:sz w:val="20"/>
                                <w:szCs w:val="20"/>
                                <w:lang w:eastAsia="en-GB"/>
                              </w:rPr>
                              <w:t xml:space="preserve">the </w:t>
                            </w:r>
                            <w:r w:rsidRPr="004F5CB9">
                              <w:rPr>
                                <w:rFonts w:eastAsia="Times New Roman" w:cstheme="minorHAnsi"/>
                                <w:color w:val="000000"/>
                                <w:sz w:val="20"/>
                                <w:szCs w:val="20"/>
                                <w:lang w:eastAsia="en-GB"/>
                              </w:rPr>
                              <w:t>inclusion of SRHR in Member State Resolutions on Universal Health Coverage (UHC)</w:t>
                            </w:r>
                          </w:p>
                          <w:p w14:paraId="458D136F" w14:textId="76FA63DA" w:rsidR="00B15F00" w:rsidRPr="004F5CB9"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developing broad-based partner initiatives and agreements (e.g. ‘Ending Preventable Maternal Mortality’; ‘Nurturing Care for Early Childhood Development’ Framework)</w:t>
                            </w:r>
                          </w:p>
                          <w:p w14:paraId="497BE6CC" w14:textId="7ED58CF7" w:rsidR="00B15F00" w:rsidRPr="004F5CB9"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development of the Global Consensus Statement on Meaningful Adolescent &amp; Youth Engagement endorsed by over 250 organizations in 2018, and building youth capacity through grants to develop coalitions and undertake joint advocacy and accountability work</w:t>
                            </w:r>
                          </w:p>
                          <w:p w14:paraId="3DC67A6E" w14:textId="618DD9C9" w:rsidR="00B15F00" w:rsidRPr="004F5CB9"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securing resolutions in support of women’s and children’s health by the 140 parliaments of the Inter-Parliamentary Union (IPU)</w:t>
                            </w:r>
                          </w:p>
                        </w:txbxContent>
                      </wps:txbx>
                      <wps:bodyPr rot="0" vert="horz" wrap="square" lIns="91440" tIns="45720" rIns="91440" bIns="45720" anchor="t" anchorCtr="0">
                        <a:spAutoFit/>
                      </wps:bodyPr>
                    </wps:wsp>
                  </a:graphicData>
                </a:graphic>
              </wp:inline>
            </w:drawing>
          </mc:Choice>
          <mc:Fallback>
            <w:pict>
              <v:shape w14:anchorId="44F0F054" id="_x0000_s1028" type="#_x0000_t202" style="width:448.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" fillcolor="#deeaf6 [664]">
                <v:textbox style="mso-fit-shape-to-text:t">
                  <w:txbxContent>
                    <w:p w14:paraId="6FAD5259" w14:textId="241C43D3" w:rsidR="00B15F00" w:rsidRPr="004F5CB9" w:rsidRDefault="00B15F00" w:rsidP="00AE5F86">
                      <w:pPr>
                        <w:pStyle w:val="ListParagraph"/>
                        <w:ind w:left="0"/>
                        <w:jc w:val="center"/>
                        <w:rPr>
                          <w:rFonts w:cstheme="minorHAnsi"/>
                          <w:b/>
                          <w:bCs/>
                          <w:sz w:val="20"/>
                          <w:szCs w:val="20"/>
                        </w:rPr>
                      </w:pPr>
                      <w:r w:rsidRPr="004F5CB9">
                        <w:rPr>
                          <w:rFonts w:cstheme="minorHAnsi"/>
                          <w:b/>
                          <w:bCs/>
                          <w:sz w:val="20"/>
                          <w:szCs w:val="20"/>
                        </w:rPr>
                        <w:t>PMNCH’s achievements over the last decade</w:t>
                      </w:r>
                    </w:p>
                    <w:p w14:paraId="2AFFA898" w14:textId="0A797238" w:rsidR="00B15F00" w:rsidRPr="004F5CB9" w:rsidRDefault="00B15F00" w:rsidP="004F5CB9">
                      <w:pPr>
                        <w:pStyle w:val="ListParagraph"/>
                        <w:numPr>
                          <w:ilvl w:val="0"/>
                          <w:numId w:val="12"/>
                        </w:numPr>
                        <w:ind w:left="284" w:hanging="284"/>
                        <w:jc w:val="both"/>
                        <w:rPr>
                          <w:rFonts w:cstheme="minorHAnsi"/>
                          <w:sz w:val="20"/>
                          <w:szCs w:val="20"/>
                        </w:rPr>
                      </w:pPr>
                      <w:r w:rsidRPr="004F5CB9">
                        <w:rPr>
                          <w:rFonts w:eastAsia="Times New Roman" w:cstheme="minorHAnsi"/>
                          <w:color w:val="000000"/>
                          <w:sz w:val="20"/>
                          <w:szCs w:val="20"/>
                          <w:lang w:eastAsia="en-GB"/>
                        </w:rPr>
                        <w:t>giving voice to over 7,000 organizations worldwide by facilitating consultations on the SDGs for Health and on the ‘Every Woman Every Child’ Global Strategy for Women’s, Children’s and Adolescents’ Health</w:t>
                      </w:r>
                    </w:p>
                    <w:p w14:paraId="2CF38D1C" w14:textId="701F8783" w:rsidR="00B15F00" w:rsidRPr="004F5CB9"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building the ‘Every Women Every Child’ movement to orchestrate US$88 billion in concrete, measurable commitments for the Global Strategy since 2010, and tracking their progress</w:t>
                      </w:r>
                    </w:p>
                    <w:p w14:paraId="01EC47A5" w14:textId="77777777" w:rsidR="00896724" w:rsidRPr="00896724"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 xml:space="preserve">helping to secure global agreements between the 192 Member States of the United Nations through the UN General Assembly and the World Health Assembly (e.g. the SDGs and the ‘Every </w:t>
                      </w:r>
                      <w:proofErr w:type="spellStart"/>
                      <w:r w:rsidRPr="004F5CB9">
                        <w:rPr>
                          <w:rFonts w:eastAsia="Times New Roman" w:cstheme="minorHAnsi"/>
                          <w:color w:val="000000"/>
                          <w:sz w:val="20"/>
                          <w:szCs w:val="20"/>
                          <w:lang w:eastAsia="en-GB"/>
                        </w:rPr>
                        <w:t>Newborn</w:t>
                      </w:r>
                      <w:proofErr w:type="spellEnd"/>
                      <w:r w:rsidRPr="004F5CB9">
                        <w:rPr>
                          <w:rFonts w:eastAsia="Times New Roman" w:cstheme="minorHAnsi"/>
                          <w:color w:val="000000"/>
                          <w:sz w:val="20"/>
                          <w:szCs w:val="20"/>
                          <w:lang w:eastAsia="en-GB"/>
                        </w:rPr>
                        <w:t xml:space="preserve"> Action Plan’)</w:t>
                      </w:r>
                    </w:p>
                    <w:p w14:paraId="1679465D" w14:textId="51F36811" w:rsidR="00B15F00" w:rsidRPr="004F5CB9"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 xml:space="preserve">ensuring visibility of MNCH and </w:t>
                      </w:r>
                      <w:r>
                        <w:rPr>
                          <w:rFonts w:eastAsia="Times New Roman" w:cstheme="minorHAnsi"/>
                          <w:color w:val="000000"/>
                          <w:sz w:val="20"/>
                          <w:szCs w:val="20"/>
                          <w:lang w:eastAsia="en-GB"/>
                        </w:rPr>
                        <w:t xml:space="preserve">the </w:t>
                      </w:r>
                      <w:r w:rsidRPr="004F5CB9">
                        <w:rPr>
                          <w:rFonts w:eastAsia="Times New Roman" w:cstheme="minorHAnsi"/>
                          <w:color w:val="000000"/>
                          <w:sz w:val="20"/>
                          <w:szCs w:val="20"/>
                          <w:lang w:eastAsia="en-GB"/>
                        </w:rPr>
                        <w:t>inclusion of SRHR in Member State Resolutions on Universal Health Coverage (UHC)</w:t>
                      </w:r>
                    </w:p>
                    <w:p w14:paraId="458D136F" w14:textId="76FA63DA" w:rsidR="00B15F00" w:rsidRPr="004F5CB9"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developing broad-based partner initiatives and agreements (e.g. ‘Ending Preventable Maternal Mortality’; ‘Nurturing Care for Early Childhood Development’ Framework)</w:t>
                      </w:r>
                    </w:p>
                    <w:p w14:paraId="497BE6CC" w14:textId="7ED58CF7" w:rsidR="00B15F00" w:rsidRPr="004F5CB9"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development of the Global Consensus Statement on Meaningful Adolescent &amp; Youth Engagement endorsed by over 250 organizations in 2018, and building youth capacity through grants to develop coalitions and undertake joint advocacy and accountability work</w:t>
                      </w:r>
                    </w:p>
                    <w:p w14:paraId="3DC67A6E" w14:textId="618DD9C9" w:rsidR="00B15F00" w:rsidRPr="004F5CB9" w:rsidRDefault="00B15F00" w:rsidP="004F5CB9">
                      <w:pPr>
                        <w:pStyle w:val="ListParagraph"/>
                        <w:numPr>
                          <w:ilvl w:val="0"/>
                          <w:numId w:val="12"/>
                        </w:numPr>
                        <w:ind w:left="284" w:hanging="284"/>
                        <w:jc w:val="both"/>
                        <w:rPr>
                          <w:sz w:val="20"/>
                          <w:szCs w:val="20"/>
                        </w:rPr>
                      </w:pPr>
                      <w:r w:rsidRPr="004F5CB9">
                        <w:rPr>
                          <w:rFonts w:eastAsia="Times New Roman" w:cstheme="minorHAnsi"/>
                          <w:color w:val="000000"/>
                          <w:sz w:val="20"/>
                          <w:szCs w:val="20"/>
                          <w:lang w:eastAsia="en-GB"/>
                        </w:rPr>
                        <w:t>securing resolutions in support of women’s and children’s health by the 140 parliaments of the Inter-Parliamentary Union (IPU)</w:t>
                      </w:r>
                    </w:p>
                  </w:txbxContent>
                </v:textbox>
                <w10:anchorlock/>
              </v:shape>
            </w:pict>
          </mc:Fallback>
        </mc:AlternateContent>
      </w:r>
      <w:r>
        <w:rPr>
          <w:rFonts w:cstheme="minorHAnsi"/>
        </w:rPr>
        <w:t xml:space="preserve"> </w:t>
      </w:r>
    </w:p>
    <w:p w14:paraId="757BEE9F" w14:textId="77777777" w:rsidR="00080085" w:rsidRDefault="00080085" w:rsidP="00BC4BC3">
      <w:pPr>
        <w:pStyle w:val="ListParagraph"/>
        <w:ind w:left="0"/>
        <w:jc w:val="both"/>
        <w:rPr>
          <w:rFonts w:cstheme="minorHAnsi"/>
        </w:rPr>
      </w:pPr>
    </w:p>
    <w:p w14:paraId="3F724470" w14:textId="0C3E1AB2" w:rsidR="00EC729D" w:rsidRPr="00EC729D" w:rsidRDefault="003D2FA1" w:rsidP="00BC4BC3">
      <w:pPr>
        <w:pStyle w:val="ListParagraph"/>
        <w:ind w:left="0"/>
        <w:jc w:val="both"/>
        <w:rPr>
          <w:rFonts w:cstheme="minorHAnsi"/>
        </w:rPr>
      </w:pPr>
      <w:r>
        <w:rPr>
          <w:rFonts w:cstheme="minorHAnsi"/>
        </w:rPr>
        <w:t>It will be critical</w:t>
      </w:r>
      <w:r w:rsidR="004D2621">
        <w:rPr>
          <w:rFonts w:cstheme="minorHAnsi"/>
        </w:rPr>
        <w:t xml:space="preserve"> for the next five years </w:t>
      </w:r>
      <w:r w:rsidR="00031B2E">
        <w:rPr>
          <w:rFonts w:cstheme="minorHAnsi"/>
        </w:rPr>
        <w:t xml:space="preserve">to </w:t>
      </w:r>
      <w:r>
        <w:rPr>
          <w:rFonts w:cstheme="minorHAnsi"/>
        </w:rPr>
        <w:t>line up</w:t>
      </w:r>
      <w:r w:rsidR="002A7B71">
        <w:rPr>
          <w:rFonts w:cstheme="minorHAnsi"/>
        </w:rPr>
        <w:t xml:space="preserve"> behind an agreed </w:t>
      </w:r>
      <w:r>
        <w:rPr>
          <w:rFonts w:cstheme="minorHAnsi"/>
        </w:rPr>
        <w:t xml:space="preserve">and common </w:t>
      </w:r>
      <w:r w:rsidR="002A7B71">
        <w:rPr>
          <w:rFonts w:cstheme="minorHAnsi"/>
        </w:rPr>
        <w:t>agenda for</w:t>
      </w:r>
      <w:r w:rsidR="00031B2E">
        <w:rPr>
          <w:rFonts w:cstheme="minorHAnsi"/>
        </w:rPr>
        <w:t xml:space="preserve"> accelerated action for women’s, children’s and adolescents’ health, and to use that </w:t>
      </w:r>
      <w:r>
        <w:rPr>
          <w:rFonts w:cstheme="minorHAnsi"/>
        </w:rPr>
        <w:t xml:space="preserve">agenda </w:t>
      </w:r>
      <w:r w:rsidR="00031B2E">
        <w:rPr>
          <w:rFonts w:cstheme="minorHAnsi"/>
        </w:rPr>
        <w:t xml:space="preserve">to </w:t>
      </w:r>
      <w:r w:rsidR="0076161B">
        <w:rPr>
          <w:rFonts w:cstheme="minorHAnsi"/>
        </w:rPr>
        <w:t xml:space="preserve">drive measurable progress, with a particular focus on the most vulnerable populations. </w:t>
      </w:r>
      <w:r w:rsidR="00BC4BC3" w:rsidRPr="00BC4BC3">
        <w:rPr>
          <w:rFonts w:cstheme="minorHAnsi"/>
        </w:rPr>
        <w:t>I</w:t>
      </w:r>
      <w:r w:rsidR="00BC4BC3">
        <w:rPr>
          <w:rFonts w:cstheme="minorHAnsi"/>
        </w:rPr>
        <w:t>n</w:t>
      </w:r>
      <w:r w:rsidR="00BC4BC3" w:rsidRPr="00BC4BC3">
        <w:rPr>
          <w:rFonts w:cstheme="minorHAnsi"/>
        </w:rPr>
        <w:t xml:space="preserve"> moving forward</w:t>
      </w:r>
      <w:r w:rsidR="006C64A6">
        <w:rPr>
          <w:rFonts w:cstheme="minorHAnsi"/>
        </w:rPr>
        <w:t>,</w:t>
      </w:r>
      <w:r w:rsidR="00BC4BC3" w:rsidRPr="00BC4BC3">
        <w:rPr>
          <w:rFonts w:cstheme="minorHAnsi"/>
        </w:rPr>
        <w:t xml:space="preserve"> we will</w:t>
      </w:r>
      <w:r w:rsidR="00031B2E">
        <w:rPr>
          <w:rFonts w:cstheme="minorHAnsi"/>
        </w:rPr>
        <w:t xml:space="preserve"> also</w:t>
      </w:r>
      <w:r w:rsidR="00BC4BC3" w:rsidRPr="00BC4BC3">
        <w:rPr>
          <w:rFonts w:cstheme="minorHAnsi"/>
        </w:rPr>
        <w:t xml:space="preserve"> learn f</w:t>
      </w:r>
      <w:r w:rsidR="00031B2E">
        <w:rPr>
          <w:rFonts w:cstheme="minorHAnsi"/>
        </w:rPr>
        <w:t>ro</w:t>
      </w:r>
      <w:r w:rsidR="00BC4BC3" w:rsidRPr="00BC4BC3">
        <w:rPr>
          <w:rFonts w:cstheme="minorHAnsi"/>
        </w:rPr>
        <w:t>m the past.</w:t>
      </w:r>
      <w:r w:rsidR="00BC4BC3">
        <w:rPr>
          <w:rFonts w:cstheme="minorHAnsi"/>
        </w:rPr>
        <w:t xml:space="preserve"> </w:t>
      </w:r>
      <w:r w:rsidR="00EC729D">
        <w:rPr>
          <w:rFonts w:cstheme="minorHAnsi"/>
        </w:rPr>
        <w:t>Over 2019/20, an External Evaluation was conducted of PMNCH. The t</w:t>
      </w:r>
      <w:r w:rsidR="00BC4BC3">
        <w:rPr>
          <w:rFonts w:cstheme="minorHAnsi"/>
        </w:rPr>
        <w:t>extbox</w:t>
      </w:r>
      <w:r w:rsidR="00EC729D" w:rsidRPr="00EC729D">
        <w:rPr>
          <w:rFonts w:cstheme="minorHAnsi"/>
        </w:rPr>
        <w:t xml:space="preserve"> below lists</w:t>
      </w:r>
      <w:r w:rsidR="00EC729D">
        <w:rPr>
          <w:rFonts w:cstheme="minorHAnsi"/>
        </w:rPr>
        <w:t xml:space="preserve"> selected findings and recommendations of the Evaluation, together with how they have been addressed in this Strategy.</w:t>
      </w:r>
    </w:p>
    <w:p w14:paraId="6274CB94" w14:textId="77777777" w:rsidR="00EC729D" w:rsidRDefault="00EC729D" w:rsidP="00EC729D">
      <w:pPr>
        <w:contextualSpacing/>
        <w:jc w:val="both"/>
        <w:rPr>
          <w:rFonts w:cstheme="minorHAnsi"/>
          <w:b/>
          <w:bCs/>
          <w:color w:val="2F5496" w:themeColor="accent1" w:themeShade="BF"/>
        </w:rPr>
      </w:pPr>
    </w:p>
    <w:tbl>
      <w:tblPr>
        <w:tblStyle w:val="TableGrid"/>
        <w:tblW w:w="0" w:type="auto"/>
        <w:tblLook w:val="04A0" w:firstRow="1" w:lastRow="0" w:firstColumn="1" w:lastColumn="0" w:noHBand="0" w:noVBand="1"/>
      </w:tblPr>
      <w:tblGrid>
        <w:gridCol w:w="3256"/>
        <w:gridCol w:w="5760"/>
      </w:tblGrid>
      <w:tr w:rsidR="004D2621" w:rsidRPr="00145078" w14:paraId="698C1C45" w14:textId="77777777" w:rsidTr="00602471">
        <w:tc>
          <w:tcPr>
            <w:tcW w:w="9016" w:type="dxa"/>
            <w:gridSpan w:val="2"/>
            <w:shd w:val="clear" w:color="auto" w:fill="B4C6E7" w:themeFill="accent1" w:themeFillTint="66"/>
          </w:tcPr>
          <w:p w14:paraId="3C56D091" w14:textId="43F65DAE" w:rsidR="004D2621" w:rsidRPr="00145078" w:rsidRDefault="004D2621" w:rsidP="008D14C5">
            <w:pPr>
              <w:contextualSpacing/>
              <w:jc w:val="center"/>
              <w:rPr>
                <w:rFonts w:cstheme="minorHAnsi"/>
                <w:b/>
                <w:bCs/>
                <w:sz w:val="20"/>
                <w:szCs w:val="20"/>
              </w:rPr>
            </w:pPr>
            <w:r w:rsidRPr="00145078">
              <w:rPr>
                <w:rFonts w:cstheme="minorHAnsi"/>
                <w:b/>
                <w:bCs/>
                <w:sz w:val="20"/>
                <w:szCs w:val="20"/>
              </w:rPr>
              <w:t>Lessons learnt from the PMNCH External Evaluation (2019/20)</w:t>
            </w:r>
          </w:p>
        </w:tc>
      </w:tr>
      <w:tr w:rsidR="00EC729D" w:rsidRPr="00145078" w14:paraId="4B95FD65" w14:textId="77777777" w:rsidTr="00145078">
        <w:tc>
          <w:tcPr>
            <w:tcW w:w="3256" w:type="dxa"/>
            <w:shd w:val="clear" w:color="auto" w:fill="B4C6E7" w:themeFill="accent1" w:themeFillTint="66"/>
          </w:tcPr>
          <w:p w14:paraId="1DB855A2" w14:textId="77777777" w:rsidR="00EC729D" w:rsidRPr="00145078" w:rsidRDefault="00EC729D" w:rsidP="008D14C5">
            <w:pPr>
              <w:ind w:left="426" w:hanging="360"/>
              <w:jc w:val="center"/>
              <w:rPr>
                <w:b/>
                <w:bCs/>
                <w:sz w:val="20"/>
                <w:szCs w:val="20"/>
              </w:rPr>
            </w:pPr>
            <w:r w:rsidRPr="00145078">
              <w:rPr>
                <w:b/>
                <w:bCs/>
                <w:sz w:val="20"/>
                <w:szCs w:val="20"/>
              </w:rPr>
              <w:t>Evaluation findings / recommendations (selected)</w:t>
            </w:r>
          </w:p>
        </w:tc>
        <w:tc>
          <w:tcPr>
            <w:tcW w:w="5760" w:type="dxa"/>
            <w:shd w:val="clear" w:color="auto" w:fill="B4C6E7" w:themeFill="accent1" w:themeFillTint="66"/>
          </w:tcPr>
          <w:p w14:paraId="43B9D7BB" w14:textId="77777777" w:rsidR="00EC729D" w:rsidRPr="00145078" w:rsidRDefault="00EC729D" w:rsidP="008D14C5">
            <w:pPr>
              <w:contextualSpacing/>
              <w:jc w:val="center"/>
              <w:rPr>
                <w:rFonts w:cstheme="minorHAnsi"/>
                <w:b/>
                <w:bCs/>
                <w:sz w:val="20"/>
                <w:szCs w:val="20"/>
              </w:rPr>
            </w:pPr>
            <w:r w:rsidRPr="00145078">
              <w:rPr>
                <w:rFonts w:cstheme="minorHAnsi"/>
                <w:b/>
                <w:bCs/>
                <w:sz w:val="20"/>
                <w:szCs w:val="20"/>
              </w:rPr>
              <w:t>PMNCH Strategy 2021-2025 response</w:t>
            </w:r>
          </w:p>
        </w:tc>
      </w:tr>
      <w:tr w:rsidR="00EC729D" w:rsidRPr="00145078" w14:paraId="68A6C890" w14:textId="77777777" w:rsidTr="00145078">
        <w:tc>
          <w:tcPr>
            <w:tcW w:w="3256" w:type="dxa"/>
            <w:shd w:val="clear" w:color="auto" w:fill="DEEAF6" w:themeFill="accent5" w:themeFillTint="33"/>
          </w:tcPr>
          <w:p w14:paraId="5426EB13" w14:textId="77777777" w:rsidR="00EC729D" w:rsidRPr="00145078" w:rsidRDefault="00EC729D" w:rsidP="008D14C5">
            <w:pPr>
              <w:rPr>
                <w:rFonts w:cstheme="minorHAnsi"/>
                <w:b/>
                <w:bCs/>
                <w:color w:val="2F5496" w:themeColor="accent1" w:themeShade="BF"/>
                <w:sz w:val="20"/>
                <w:szCs w:val="20"/>
              </w:rPr>
            </w:pPr>
            <w:r w:rsidRPr="00145078">
              <w:rPr>
                <w:b/>
                <w:bCs/>
                <w:sz w:val="20"/>
                <w:szCs w:val="20"/>
                <w:lang w:val="en-US"/>
              </w:rPr>
              <w:t>PMNCH’s vision and mission remain relevant, valid and urgent</w:t>
            </w:r>
          </w:p>
        </w:tc>
        <w:tc>
          <w:tcPr>
            <w:tcW w:w="5760" w:type="dxa"/>
            <w:shd w:val="clear" w:color="auto" w:fill="DEEAF6" w:themeFill="accent5" w:themeFillTint="33"/>
          </w:tcPr>
          <w:p w14:paraId="74151A81" w14:textId="77777777" w:rsidR="00EC729D" w:rsidRPr="00145078" w:rsidRDefault="00EC729D" w:rsidP="008D14C5">
            <w:pPr>
              <w:contextualSpacing/>
              <w:rPr>
                <w:rFonts w:cstheme="minorHAnsi"/>
                <w:b/>
                <w:bCs/>
                <w:color w:val="2F5496" w:themeColor="accent1" w:themeShade="BF"/>
                <w:sz w:val="20"/>
                <w:szCs w:val="20"/>
              </w:rPr>
            </w:pPr>
            <w:r w:rsidRPr="00145078">
              <w:rPr>
                <w:sz w:val="20"/>
                <w:szCs w:val="20"/>
                <w:lang w:val="en-US"/>
              </w:rPr>
              <w:t>Retain essence of vision and mission (WCAH; Equity; Partnership), but make them more focused</w:t>
            </w:r>
          </w:p>
        </w:tc>
      </w:tr>
      <w:tr w:rsidR="00EC729D" w:rsidRPr="00145078" w14:paraId="3C3414E1" w14:textId="77777777" w:rsidTr="00145078">
        <w:tc>
          <w:tcPr>
            <w:tcW w:w="3256" w:type="dxa"/>
            <w:shd w:val="clear" w:color="auto" w:fill="DEEAF6" w:themeFill="accent5" w:themeFillTint="33"/>
          </w:tcPr>
          <w:p w14:paraId="61692656" w14:textId="29DE139A" w:rsidR="00EC729D" w:rsidRPr="00145078" w:rsidRDefault="00EC729D" w:rsidP="008D14C5">
            <w:pPr>
              <w:rPr>
                <w:rFonts w:cstheme="minorHAnsi"/>
                <w:b/>
                <w:bCs/>
                <w:color w:val="2F5496" w:themeColor="accent1" w:themeShade="BF"/>
                <w:sz w:val="20"/>
                <w:szCs w:val="20"/>
              </w:rPr>
            </w:pPr>
            <w:r w:rsidRPr="00145078">
              <w:rPr>
                <w:b/>
                <w:bCs/>
                <w:sz w:val="20"/>
                <w:szCs w:val="20"/>
                <w:lang w:val="en-US"/>
              </w:rPr>
              <w:t xml:space="preserve">PMMCH has been pulled in </w:t>
            </w:r>
            <w:r w:rsidR="00896724">
              <w:rPr>
                <w:b/>
                <w:bCs/>
                <w:sz w:val="20"/>
                <w:szCs w:val="20"/>
                <w:lang w:val="en-US"/>
              </w:rPr>
              <w:t xml:space="preserve">too </w:t>
            </w:r>
            <w:r w:rsidRPr="00145078">
              <w:rPr>
                <w:b/>
                <w:bCs/>
                <w:sz w:val="20"/>
                <w:szCs w:val="20"/>
                <w:lang w:val="en-US"/>
              </w:rPr>
              <w:t>many directions</w:t>
            </w:r>
          </w:p>
        </w:tc>
        <w:tc>
          <w:tcPr>
            <w:tcW w:w="5760" w:type="dxa"/>
            <w:shd w:val="clear" w:color="auto" w:fill="DEEAF6" w:themeFill="accent5" w:themeFillTint="33"/>
          </w:tcPr>
          <w:p w14:paraId="19F08BE8" w14:textId="7746A36A" w:rsidR="00EC729D" w:rsidRPr="00145078" w:rsidRDefault="00EC729D" w:rsidP="008D14C5">
            <w:pPr>
              <w:contextualSpacing/>
              <w:rPr>
                <w:rFonts w:cstheme="minorHAnsi"/>
                <w:b/>
                <w:bCs/>
                <w:color w:val="2F5496" w:themeColor="accent1" w:themeShade="BF"/>
                <w:sz w:val="20"/>
                <w:szCs w:val="20"/>
              </w:rPr>
            </w:pPr>
            <w:r w:rsidRPr="00145078">
              <w:rPr>
                <w:sz w:val="20"/>
                <w:szCs w:val="20"/>
                <w:lang w:val="en-US"/>
              </w:rPr>
              <w:t xml:space="preserve">Adopt greater focus: from 6 focus areas of 2018-2020 Business Plan to 3 focus areas and corresponding </w:t>
            </w:r>
            <w:r w:rsidR="003B37E8" w:rsidRPr="00145078">
              <w:rPr>
                <w:sz w:val="20"/>
                <w:szCs w:val="20"/>
                <w:lang w:val="en-US"/>
              </w:rPr>
              <w:t xml:space="preserve">smart/measurable </w:t>
            </w:r>
            <w:r w:rsidRPr="00145078">
              <w:rPr>
                <w:sz w:val="20"/>
                <w:szCs w:val="20"/>
                <w:lang w:val="en-US"/>
              </w:rPr>
              <w:t>objectives</w:t>
            </w:r>
          </w:p>
        </w:tc>
      </w:tr>
      <w:tr w:rsidR="00EC729D" w:rsidRPr="00145078" w14:paraId="43B48EE7" w14:textId="77777777" w:rsidTr="00145078">
        <w:tc>
          <w:tcPr>
            <w:tcW w:w="3256" w:type="dxa"/>
            <w:shd w:val="clear" w:color="auto" w:fill="DEEAF6" w:themeFill="accent5" w:themeFillTint="33"/>
          </w:tcPr>
          <w:p w14:paraId="3511CE29" w14:textId="547AE33F" w:rsidR="00EC729D" w:rsidRPr="00145078" w:rsidRDefault="00EC729D" w:rsidP="008D14C5">
            <w:pPr>
              <w:rPr>
                <w:rFonts w:cstheme="minorHAnsi"/>
                <w:b/>
                <w:bCs/>
                <w:color w:val="2F5496" w:themeColor="accent1" w:themeShade="BF"/>
                <w:sz w:val="20"/>
                <w:szCs w:val="20"/>
              </w:rPr>
            </w:pPr>
            <w:r w:rsidRPr="00145078">
              <w:rPr>
                <w:b/>
                <w:bCs/>
                <w:sz w:val="20"/>
                <w:szCs w:val="20"/>
                <w:lang w:val="en-US"/>
              </w:rPr>
              <w:t>PMNCH’s main value addition is its Advocacy function</w:t>
            </w:r>
            <w:r w:rsidR="00190325" w:rsidRPr="00145078">
              <w:rPr>
                <w:b/>
                <w:bCs/>
                <w:sz w:val="20"/>
                <w:szCs w:val="20"/>
                <w:lang w:val="en-US"/>
              </w:rPr>
              <w:t xml:space="preserve"> and co</w:t>
            </w:r>
            <w:r w:rsidR="006C64A6">
              <w:rPr>
                <w:b/>
                <w:bCs/>
                <w:sz w:val="20"/>
                <w:szCs w:val="20"/>
                <w:lang w:val="en-US"/>
              </w:rPr>
              <w:t>n</w:t>
            </w:r>
            <w:r w:rsidR="00190325" w:rsidRPr="00145078">
              <w:rPr>
                <w:b/>
                <w:bCs/>
                <w:sz w:val="20"/>
                <w:szCs w:val="20"/>
                <w:lang w:val="en-US"/>
              </w:rPr>
              <w:t>vening power</w:t>
            </w:r>
          </w:p>
        </w:tc>
        <w:tc>
          <w:tcPr>
            <w:tcW w:w="5760" w:type="dxa"/>
            <w:shd w:val="clear" w:color="auto" w:fill="DEEAF6" w:themeFill="accent5" w:themeFillTint="33"/>
          </w:tcPr>
          <w:p w14:paraId="071ECD3F" w14:textId="0B86F5EC" w:rsidR="00EC729D" w:rsidRPr="00145078" w:rsidRDefault="00EC729D" w:rsidP="008D14C5">
            <w:pPr>
              <w:contextualSpacing/>
              <w:rPr>
                <w:rFonts w:cstheme="minorHAnsi"/>
                <w:b/>
                <w:bCs/>
                <w:color w:val="2F5496" w:themeColor="accent1" w:themeShade="BF"/>
                <w:sz w:val="20"/>
                <w:szCs w:val="20"/>
              </w:rPr>
            </w:pPr>
            <w:r w:rsidRPr="00145078">
              <w:rPr>
                <w:sz w:val="20"/>
                <w:szCs w:val="20"/>
                <w:lang w:val="en-US"/>
              </w:rPr>
              <w:t xml:space="preserve">Make Advocacy the </w:t>
            </w:r>
            <w:r w:rsidR="007677F3">
              <w:rPr>
                <w:sz w:val="20"/>
                <w:szCs w:val="20"/>
                <w:lang w:val="en-US"/>
              </w:rPr>
              <w:t>primary</w:t>
            </w:r>
            <w:r w:rsidRPr="00145078">
              <w:rPr>
                <w:sz w:val="20"/>
                <w:szCs w:val="20"/>
                <w:lang w:val="en-US"/>
              </w:rPr>
              <w:t xml:space="preserve"> function of PMNCH, with other functions re-described and in service of the </w:t>
            </w:r>
            <w:r w:rsidR="007677F3">
              <w:rPr>
                <w:sz w:val="20"/>
                <w:szCs w:val="20"/>
                <w:lang w:val="en-US"/>
              </w:rPr>
              <w:t>primary</w:t>
            </w:r>
            <w:r w:rsidRPr="00145078">
              <w:rPr>
                <w:sz w:val="20"/>
                <w:szCs w:val="20"/>
                <w:lang w:val="en-US"/>
              </w:rPr>
              <w:t xml:space="preserve"> Advocacy function</w:t>
            </w:r>
          </w:p>
        </w:tc>
      </w:tr>
      <w:tr w:rsidR="00EC729D" w:rsidRPr="00145078" w14:paraId="56C37F48" w14:textId="77777777" w:rsidTr="00145078">
        <w:tc>
          <w:tcPr>
            <w:tcW w:w="3256" w:type="dxa"/>
            <w:shd w:val="clear" w:color="auto" w:fill="DEEAF6" w:themeFill="accent5" w:themeFillTint="33"/>
          </w:tcPr>
          <w:p w14:paraId="00DB036C" w14:textId="77777777" w:rsidR="00EC729D" w:rsidRPr="00145078" w:rsidRDefault="00EC729D" w:rsidP="008D14C5">
            <w:pPr>
              <w:rPr>
                <w:rFonts w:cstheme="minorHAnsi"/>
                <w:b/>
                <w:bCs/>
                <w:color w:val="2F5496" w:themeColor="accent1" w:themeShade="BF"/>
                <w:sz w:val="20"/>
                <w:szCs w:val="20"/>
              </w:rPr>
            </w:pPr>
            <w:r w:rsidRPr="00145078">
              <w:rPr>
                <w:b/>
                <w:bCs/>
                <w:sz w:val="20"/>
                <w:szCs w:val="20"/>
                <w:lang w:val="en-US"/>
              </w:rPr>
              <w:t>PMNCH’s Governance is heavy and time-intensive</w:t>
            </w:r>
          </w:p>
        </w:tc>
        <w:tc>
          <w:tcPr>
            <w:tcW w:w="5760" w:type="dxa"/>
            <w:shd w:val="clear" w:color="auto" w:fill="DEEAF6" w:themeFill="accent5" w:themeFillTint="33"/>
          </w:tcPr>
          <w:p w14:paraId="6D1EEEFE" w14:textId="20F9EF42" w:rsidR="00EC729D" w:rsidRPr="00145078" w:rsidRDefault="00EC729D" w:rsidP="008D14C5">
            <w:pPr>
              <w:contextualSpacing/>
              <w:rPr>
                <w:rFonts w:cstheme="minorHAnsi"/>
                <w:b/>
                <w:bCs/>
                <w:color w:val="2F5496" w:themeColor="accent1" w:themeShade="BF"/>
                <w:sz w:val="20"/>
                <w:szCs w:val="20"/>
              </w:rPr>
            </w:pPr>
            <w:r w:rsidRPr="00145078">
              <w:rPr>
                <w:sz w:val="20"/>
                <w:szCs w:val="20"/>
                <w:lang w:val="en-US"/>
              </w:rPr>
              <w:t xml:space="preserve">Streamline governance: reduce </w:t>
            </w:r>
            <w:r w:rsidR="002E5B0F" w:rsidRPr="00145078">
              <w:rPr>
                <w:sz w:val="20"/>
                <w:szCs w:val="20"/>
                <w:lang w:val="en-US"/>
              </w:rPr>
              <w:t xml:space="preserve">structures </w:t>
            </w:r>
            <w:r w:rsidRPr="00145078">
              <w:rPr>
                <w:sz w:val="20"/>
                <w:szCs w:val="20"/>
                <w:lang w:val="en-US"/>
              </w:rPr>
              <w:t>and face-to-face meetings</w:t>
            </w:r>
            <w:r w:rsidR="002E5B0F" w:rsidRPr="00145078">
              <w:rPr>
                <w:sz w:val="20"/>
                <w:szCs w:val="20"/>
                <w:lang w:val="en-US"/>
              </w:rPr>
              <w:t>, as well as digitalize operations more</w:t>
            </w:r>
          </w:p>
        </w:tc>
      </w:tr>
      <w:tr w:rsidR="00EC729D" w:rsidRPr="00145078" w14:paraId="5FA03592" w14:textId="77777777" w:rsidTr="00145078">
        <w:tc>
          <w:tcPr>
            <w:tcW w:w="3256" w:type="dxa"/>
            <w:shd w:val="clear" w:color="auto" w:fill="DEEAF6" w:themeFill="accent5" w:themeFillTint="33"/>
          </w:tcPr>
          <w:p w14:paraId="24F6E006" w14:textId="77777777" w:rsidR="00EC729D" w:rsidRPr="00145078" w:rsidRDefault="00EC729D" w:rsidP="008D14C5">
            <w:pPr>
              <w:rPr>
                <w:rFonts w:cstheme="minorHAnsi"/>
                <w:b/>
                <w:bCs/>
                <w:color w:val="2F5496" w:themeColor="accent1" w:themeShade="BF"/>
                <w:sz w:val="20"/>
                <w:szCs w:val="20"/>
              </w:rPr>
            </w:pPr>
            <w:r w:rsidRPr="00145078">
              <w:rPr>
                <w:b/>
                <w:bCs/>
                <w:sz w:val="20"/>
                <w:szCs w:val="20"/>
                <w:lang w:val="en-US"/>
              </w:rPr>
              <w:t>PMNCH should strengthen its partner engagement processes</w:t>
            </w:r>
          </w:p>
        </w:tc>
        <w:tc>
          <w:tcPr>
            <w:tcW w:w="5760" w:type="dxa"/>
            <w:shd w:val="clear" w:color="auto" w:fill="DEEAF6" w:themeFill="accent5" w:themeFillTint="33"/>
          </w:tcPr>
          <w:p w14:paraId="2DFD0B1D" w14:textId="6908AA49" w:rsidR="00EC729D" w:rsidRPr="00145078" w:rsidRDefault="002E5B0F" w:rsidP="008D14C5">
            <w:pPr>
              <w:contextualSpacing/>
              <w:rPr>
                <w:rFonts w:cstheme="minorHAnsi"/>
                <w:b/>
                <w:bCs/>
                <w:color w:val="2F5496" w:themeColor="accent1" w:themeShade="BF"/>
                <w:sz w:val="20"/>
                <w:szCs w:val="20"/>
              </w:rPr>
            </w:pPr>
            <w:r w:rsidRPr="00145078">
              <w:rPr>
                <w:sz w:val="20"/>
                <w:szCs w:val="20"/>
                <w:lang w:val="en-US"/>
              </w:rPr>
              <w:t xml:space="preserve">Operationalize </w:t>
            </w:r>
            <w:r w:rsidR="00EC729D" w:rsidRPr="00145078">
              <w:rPr>
                <w:sz w:val="20"/>
                <w:szCs w:val="20"/>
                <w:lang w:val="en-US"/>
              </w:rPr>
              <w:t xml:space="preserve">Digital Strategy </w:t>
            </w:r>
            <w:r w:rsidRPr="00145078">
              <w:rPr>
                <w:sz w:val="20"/>
                <w:szCs w:val="20"/>
                <w:lang w:val="en-US"/>
              </w:rPr>
              <w:t xml:space="preserve">and put in place effective and innovative </w:t>
            </w:r>
            <w:r w:rsidR="00EC729D" w:rsidRPr="00145078">
              <w:rPr>
                <w:sz w:val="20"/>
                <w:szCs w:val="20"/>
                <w:lang w:val="en-US"/>
              </w:rPr>
              <w:t>partner engagement</w:t>
            </w:r>
            <w:r w:rsidRPr="00145078">
              <w:rPr>
                <w:sz w:val="20"/>
                <w:szCs w:val="20"/>
                <w:lang w:val="en-US"/>
              </w:rPr>
              <w:t xml:space="preserve"> mechanisms</w:t>
            </w:r>
            <w:r w:rsidR="00EC729D" w:rsidRPr="00145078">
              <w:rPr>
                <w:sz w:val="20"/>
                <w:szCs w:val="20"/>
                <w:lang w:val="en-US"/>
              </w:rPr>
              <w:t>; priority focus for Strategy implementation</w:t>
            </w:r>
          </w:p>
        </w:tc>
      </w:tr>
      <w:tr w:rsidR="00EC729D" w:rsidRPr="00145078" w14:paraId="45B2BDD4" w14:textId="77777777" w:rsidTr="00145078">
        <w:tc>
          <w:tcPr>
            <w:tcW w:w="3256" w:type="dxa"/>
            <w:shd w:val="clear" w:color="auto" w:fill="DEEAF6" w:themeFill="accent5" w:themeFillTint="33"/>
          </w:tcPr>
          <w:p w14:paraId="2033FA4F" w14:textId="77777777" w:rsidR="00EC729D" w:rsidRPr="00145078" w:rsidRDefault="00EC729D" w:rsidP="008D14C5">
            <w:pPr>
              <w:rPr>
                <w:rFonts w:cstheme="minorHAnsi"/>
                <w:b/>
                <w:bCs/>
                <w:color w:val="2F5496" w:themeColor="accent1" w:themeShade="BF"/>
                <w:sz w:val="20"/>
                <w:szCs w:val="20"/>
              </w:rPr>
            </w:pPr>
            <w:r w:rsidRPr="00145078">
              <w:rPr>
                <w:b/>
                <w:bCs/>
                <w:sz w:val="20"/>
                <w:szCs w:val="20"/>
                <w:lang w:val="en-US"/>
              </w:rPr>
              <w:t>PMNCH should clarify its approach to country engagement</w:t>
            </w:r>
          </w:p>
        </w:tc>
        <w:tc>
          <w:tcPr>
            <w:tcW w:w="5760" w:type="dxa"/>
            <w:shd w:val="clear" w:color="auto" w:fill="DEEAF6" w:themeFill="accent5" w:themeFillTint="33"/>
          </w:tcPr>
          <w:p w14:paraId="05165B21" w14:textId="4592DBA8" w:rsidR="00EC729D" w:rsidRPr="00145078" w:rsidRDefault="00EC729D" w:rsidP="008D14C5">
            <w:pPr>
              <w:contextualSpacing/>
              <w:rPr>
                <w:rFonts w:cstheme="minorHAnsi"/>
                <w:b/>
                <w:bCs/>
                <w:color w:val="2F5496" w:themeColor="accent1" w:themeShade="BF"/>
                <w:sz w:val="20"/>
                <w:szCs w:val="20"/>
              </w:rPr>
            </w:pPr>
            <w:r w:rsidRPr="00145078">
              <w:rPr>
                <w:sz w:val="20"/>
                <w:szCs w:val="20"/>
                <w:lang w:val="en-US"/>
              </w:rPr>
              <w:t xml:space="preserve">PMNCH role in country </w:t>
            </w:r>
            <w:r w:rsidR="002E5B0F" w:rsidRPr="00145078">
              <w:rPr>
                <w:sz w:val="20"/>
                <w:szCs w:val="20"/>
                <w:lang w:val="en-US"/>
              </w:rPr>
              <w:t xml:space="preserve">and regional </w:t>
            </w:r>
            <w:r w:rsidRPr="00145078">
              <w:rPr>
                <w:sz w:val="20"/>
                <w:szCs w:val="20"/>
                <w:lang w:val="en-US"/>
              </w:rPr>
              <w:t xml:space="preserve">engagement processes </w:t>
            </w:r>
            <w:r w:rsidR="006C64A6" w:rsidRPr="00145078">
              <w:rPr>
                <w:sz w:val="20"/>
                <w:szCs w:val="20"/>
                <w:lang w:val="en-US"/>
              </w:rPr>
              <w:t>rationali</w:t>
            </w:r>
            <w:r w:rsidR="006C64A6">
              <w:rPr>
                <w:sz w:val="20"/>
                <w:szCs w:val="20"/>
                <w:lang w:val="en-US"/>
              </w:rPr>
              <w:t>z</w:t>
            </w:r>
            <w:r w:rsidR="006C64A6" w:rsidRPr="00145078">
              <w:rPr>
                <w:sz w:val="20"/>
                <w:szCs w:val="20"/>
                <w:lang w:val="en-US"/>
              </w:rPr>
              <w:t xml:space="preserve">ed </w:t>
            </w:r>
            <w:r w:rsidRPr="00145078">
              <w:rPr>
                <w:sz w:val="20"/>
                <w:szCs w:val="20"/>
                <w:lang w:val="en-US"/>
              </w:rPr>
              <w:t>and clarified; priority focus for Strategy implementation</w:t>
            </w:r>
          </w:p>
        </w:tc>
      </w:tr>
      <w:tr w:rsidR="00EC729D" w:rsidRPr="00145078" w14:paraId="3DFFE36C" w14:textId="77777777" w:rsidTr="00145078">
        <w:tc>
          <w:tcPr>
            <w:tcW w:w="3256" w:type="dxa"/>
            <w:shd w:val="clear" w:color="auto" w:fill="DEEAF6" w:themeFill="accent5" w:themeFillTint="33"/>
          </w:tcPr>
          <w:p w14:paraId="75295ABC" w14:textId="77777777" w:rsidR="00EC729D" w:rsidRPr="00145078" w:rsidRDefault="00EC729D" w:rsidP="008D14C5">
            <w:pPr>
              <w:rPr>
                <w:rFonts w:cstheme="minorHAnsi"/>
                <w:b/>
                <w:bCs/>
                <w:color w:val="2F5496" w:themeColor="accent1" w:themeShade="BF"/>
                <w:sz w:val="20"/>
                <w:szCs w:val="20"/>
              </w:rPr>
            </w:pPr>
            <w:r w:rsidRPr="00145078">
              <w:rPr>
                <w:b/>
                <w:bCs/>
                <w:sz w:val="20"/>
                <w:szCs w:val="20"/>
                <w:lang w:val="en-US"/>
              </w:rPr>
              <w:t>PMNCH should develop a new Strategy, with a clear Theory of Change and Results Framework</w:t>
            </w:r>
          </w:p>
        </w:tc>
        <w:tc>
          <w:tcPr>
            <w:tcW w:w="5760" w:type="dxa"/>
            <w:shd w:val="clear" w:color="auto" w:fill="DEEAF6" w:themeFill="accent5" w:themeFillTint="33"/>
          </w:tcPr>
          <w:p w14:paraId="4E8ACDA4" w14:textId="77777777" w:rsidR="00EC729D" w:rsidRPr="00145078" w:rsidRDefault="00EC729D" w:rsidP="008D14C5">
            <w:pPr>
              <w:contextualSpacing/>
              <w:rPr>
                <w:rFonts w:cstheme="minorHAnsi"/>
                <w:b/>
                <w:bCs/>
                <w:color w:val="2F5496" w:themeColor="accent1" w:themeShade="BF"/>
                <w:sz w:val="20"/>
                <w:szCs w:val="20"/>
              </w:rPr>
            </w:pPr>
            <w:r w:rsidRPr="00145078">
              <w:rPr>
                <w:sz w:val="20"/>
                <w:szCs w:val="20"/>
                <w:lang w:val="en-US"/>
              </w:rPr>
              <w:t xml:space="preserve">PMNCH 20021-2025 Strategy produced, with clear Theory of Change and Results Framework, and clearer description of Partnership roles and accountabilities </w:t>
            </w:r>
          </w:p>
        </w:tc>
      </w:tr>
    </w:tbl>
    <w:p w14:paraId="1CC46DB8" w14:textId="62FE56BD" w:rsidR="00EC729D" w:rsidRPr="004A6604" w:rsidRDefault="00EC729D" w:rsidP="00EC729D">
      <w:pPr>
        <w:contextualSpacing/>
        <w:rPr>
          <w:rFonts w:cstheme="minorHAnsi"/>
        </w:rPr>
      </w:pPr>
    </w:p>
    <w:p w14:paraId="34E8EE4A" w14:textId="77777777" w:rsidR="004A6604" w:rsidRPr="004A6604" w:rsidRDefault="004A6604" w:rsidP="004A6604">
      <w:pPr>
        <w:contextualSpacing/>
        <w:jc w:val="both"/>
        <w:rPr>
          <w:rFonts w:cstheme="minorHAnsi"/>
        </w:rPr>
      </w:pPr>
      <w:r w:rsidRPr="004A6604">
        <w:rPr>
          <w:rFonts w:cstheme="minorHAnsi"/>
        </w:rPr>
        <w:t>We antic</w:t>
      </w:r>
      <w:r>
        <w:rPr>
          <w:rFonts w:cstheme="minorHAnsi"/>
        </w:rPr>
        <w:t>i</w:t>
      </w:r>
      <w:r w:rsidRPr="004A6604">
        <w:rPr>
          <w:rFonts w:cstheme="minorHAnsi"/>
        </w:rPr>
        <w:t xml:space="preserve">pate that the changes </w:t>
      </w:r>
      <w:r>
        <w:rPr>
          <w:rFonts w:cstheme="minorHAnsi"/>
        </w:rPr>
        <w:t xml:space="preserve">outlined above, together with additional reforms to PMNCH’s business model detailed in this Strategy, will result in a more focussed and dynamic partnership over the </w:t>
      </w:r>
      <w:r w:rsidRPr="004A6604">
        <w:rPr>
          <w:rFonts w:cstheme="minorHAnsi"/>
        </w:rPr>
        <w:t xml:space="preserve">coming five years. We are on a ‘campaign footing’, equipped to mobilise our 1,000 plus partners </w:t>
      </w:r>
      <w:r w:rsidR="006D23E3" w:rsidRPr="004A6604">
        <w:rPr>
          <w:rFonts w:cstheme="minorHAnsi"/>
        </w:rPr>
        <w:t xml:space="preserve">behind </w:t>
      </w:r>
      <w:r w:rsidRPr="004A6604">
        <w:rPr>
          <w:rFonts w:cstheme="minorHAnsi"/>
        </w:rPr>
        <w:t>the</w:t>
      </w:r>
      <w:r w:rsidR="006D23E3" w:rsidRPr="004A6604">
        <w:rPr>
          <w:rFonts w:cstheme="minorHAnsi"/>
        </w:rPr>
        <w:t xml:space="preserve"> needs and demands </w:t>
      </w:r>
      <w:r w:rsidR="00903FFE" w:rsidRPr="004A6604">
        <w:rPr>
          <w:rFonts w:cstheme="minorHAnsi"/>
        </w:rPr>
        <w:t xml:space="preserve">of </w:t>
      </w:r>
      <w:r w:rsidR="006D23E3" w:rsidRPr="004A6604">
        <w:rPr>
          <w:rFonts w:cstheme="minorHAnsi"/>
        </w:rPr>
        <w:t>women</w:t>
      </w:r>
      <w:r w:rsidR="001864B0" w:rsidRPr="004A6604">
        <w:rPr>
          <w:rFonts w:cstheme="minorHAnsi"/>
        </w:rPr>
        <w:t xml:space="preserve">, </w:t>
      </w:r>
      <w:r w:rsidRPr="004A6604">
        <w:rPr>
          <w:rFonts w:cstheme="minorHAnsi"/>
        </w:rPr>
        <w:t xml:space="preserve">children and </w:t>
      </w:r>
      <w:r w:rsidR="0059338E" w:rsidRPr="004A6604">
        <w:rPr>
          <w:rFonts w:cstheme="minorHAnsi"/>
        </w:rPr>
        <w:t>adolescents</w:t>
      </w:r>
      <w:r w:rsidRPr="004A6604">
        <w:rPr>
          <w:rFonts w:cstheme="minorHAnsi"/>
        </w:rPr>
        <w:t xml:space="preserve"> worldwide.</w:t>
      </w:r>
    </w:p>
    <w:p w14:paraId="34848395" w14:textId="433F5F97" w:rsidR="004A6604" w:rsidRDefault="004A6604" w:rsidP="004A6604">
      <w:pPr>
        <w:contextualSpacing/>
        <w:jc w:val="both"/>
        <w:rPr>
          <w:rFonts w:cstheme="minorHAnsi"/>
          <w:i/>
          <w:iCs/>
        </w:rPr>
      </w:pPr>
    </w:p>
    <w:p w14:paraId="7FDBE8F7" w14:textId="199C6CFF" w:rsidR="00FE516C" w:rsidRDefault="00FE516C" w:rsidP="0038568C">
      <w:pPr>
        <w:contextualSpacing/>
        <w:rPr>
          <w:rFonts w:cstheme="minorHAnsi"/>
          <w:b/>
          <w:color w:val="2F5496" w:themeColor="accent1" w:themeShade="BF"/>
        </w:rPr>
      </w:pPr>
    </w:p>
    <w:p w14:paraId="73A12B18" w14:textId="53CD239C" w:rsidR="00E61D88" w:rsidRPr="0038568C" w:rsidRDefault="00FE516C" w:rsidP="002E61E8">
      <w:pPr>
        <w:contextualSpacing/>
        <w:rPr>
          <w:rFonts w:eastAsiaTheme="majorEastAsia" w:cstheme="minorHAnsi"/>
          <w:b/>
          <w:i/>
          <w:color w:val="2F5496" w:themeColor="accent1" w:themeShade="BF"/>
        </w:rPr>
      </w:pPr>
      <w:r w:rsidRPr="0038568C">
        <w:rPr>
          <w:rFonts w:cstheme="minorHAnsi"/>
          <w:b/>
          <w:bCs/>
          <w:color w:val="2F5496" w:themeColor="accent1" w:themeShade="BF"/>
        </w:rPr>
        <w:t>3.</w:t>
      </w:r>
      <w:r w:rsidRPr="0038568C">
        <w:rPr>
          <w:rFonts w:cstheme="minorHAnsi"/>
          <w:b/>
          <w:bCs/>
          <w:color w:val="2F5496" w:themeColor="accent1" w:themeShade="BF"/>
        </w:rPr>
        <w:tab/>
      </w:r>
      <w:r w:rsidR="00E61D88" w:rsidRPr="0038568C">
        <w:rPr>
          <w:rFonts w:cstheme="minorHAnsi"/>
          <w:b/>
          <w:bCs/>
          <w:color w:val="2F5496" w:themeColor="accent1" w:themeShade="BF"/>
        </w:rPr>
        <w:t>VISION</w:t>
      </w:r>
      <w:r w:rsidR="00E10B40" w:rsidRPr="0038568C">
        <w:rPr>
          <w:rFonts w:cstheme="minorHAnsi"/>
          <w:b/>
          <w:bCs/>
          <w:color w:val="2F5496" w:themeColor="accent1" w:themeShade="BF"/>
        </w:rPr>
        <w:t xml:space="preserve"> &amp;</w:t>
      </w:r>
      <w:r w:rsidR="00E61D88" w:rsidRPr="0038568C">
        <w:rPr>
          <w:rFonts w:cstheme="minorHAnsi"/>
          <w:b/>
          <w:bCs/>
          <w:color w:val="2F5496" w:themeColor="accent1" w:themeShade="BF"/>
        </w:rPr>
        <w:t xml:space="preserve"> MISSION</w:t>
      </w:r>
    </w:p>
    <w:p w14:paraId="018673C5" w14:textId="77777777" w:rsidR="002C6FD9" w:rsidRPr="0038568C" w:rsidRDefault="002C6FD9" w:rsidP="002E61E8">
      <w:pPr>
        <w:pStyle w:val="ListParagraph"/>
        <w:ind w:left="0"/>
        <w:jc w:val="both"/>
        <w:rPr>
          <w:rFonts w:cstheme="minorHAnsi"/>
        </w:rPr>
      </w:pPr>
    </w:p>
    <w:p w14:paraId="42E03D58" w14:textId="77777777" w:rsidR="003D2FA1" w:rsidRDefault="00101E98" w:rsidP="002E61E8">
      <w:pPr>
        <w:jc w:val="both"/>
        <w:rPr>
          <w:rFonts w:cstheme="minorHAnsi"/>
        </w:rPr>
      </w:pPr>
      <w:r w:rsidRPr="00A95BB4">
        <w:rPr>
          <w:rFonts w:cstheme="minorHAnsi"/>
        </w:rPr>
        <w:t>The</w:t>
      </w:r>
      <w:r w:rsidRPr="00A95BB4">
        <w:rPr>
          <w:rFonts w:cstheme="minorHAnsi"/>
          <w:b/>
          <w:bCs/>
        </w:rPr>
        <w:t xml:space="preserve"> v</w:t>
      </w:r>
      <w:r w:rsidR="007B03E6" w:rsidRPr="00A95BB4">
        <w:rPr>
          <w:rFonts w:cstheme="minorHAnsi"/>
          <w:b/>
          <w:bCs/>
        </w:rPr>
        <w:t>ision</w:t>
      </w:r>
      <w:r w:rsidRPr="00A95BB4">
        <w:rPr>
          <w:rFonts w:cstheme="minorHAnsi"/>
        </w:rPr>
        <w:t xml:space="preserve"> of PMNCH is ‘A</w:t>
      </w:r>
      <w:r w:rsidR="007B03E6" w:rsidRPr="00A95BB4">
        <w:rPr>
          <w:rFonts w:cstheme="minorHAnsi"/>
        </w:rPr>
        <w:t xml:space="preserve"> wor</w:t>
      </w:r>
      <w:r w:rsidR="006407C6" w:rsidRPr="00A95BB4">
        <w:rPr>
          <w:rFonts w:cstheme="minorHAnsi"/>
        </w:rPr>
        <w:t>l</w:t>
      </w:r>
      <w:r w:rsidR="007B03E6" w:rsidRPr="00A95BB4">
        <w:rPr>
          <w:rFonts w:cstheme="minorHAnsi"/>
        </w:rPr>
        <w:t>d in which every woman, child and adolescent realizes their right to health and well-being, leaving no one behind</w:t>
      </w:r>
      <w:r w:rsidRPr="00A95BB4">
        <w:rPr>
          <w:rFonts w:cstheme="minorHAnsi"/>
        </w:rPr>
        <w:t>’.</w:t>
      </w:r>
      <w:r w:rsidR="0012687A" w:rsidRPr="00A95BB4">
        <w:rPr>
          <w:rFonts w:cstheme="minorHAnsi"/>
        </w:rPr>
        <w:t xml:space="preserve"> </w:t>
      </w:r>
    </w:p>
    <w:p w14:paraId="628BC6D1" w14:textId="77777777" w:rsidR="003D2FA1" w:rsidRDefault="003D2FA1" w:rsidP="002E61E8">
      <w:pPr>
        <w:jc w:val="both"/>
        <w:rPr>
          <w:rFonts w:cstheme="minorHAnsi"/>
        </w:rPr>
      </w:pPr>
    </w:p>
    <w:p w14:paraId="423688BA" w14:textId="2F9E2F5D" w:rsidR="000677BA" w:rsidRPr="00A95BB4" w:rsidRDefault="0012687A" w:rsidP="002E61E8">
      <w:pPr>
        <w:jc w:val="both"/>
        <w:rPr>
          <w:rFonts w:cstheme="minorHAnsi"/>
        </w:rPr>
      </w:pPr>
      <w:r w:rsidRPr="00A95BB4">
        <w:rPr>
          <w:rFonts w:cstheme="minorHAnsi"/>
        </w:rPr>
        <w:t>This is the world to which PMNCH wishes to make a distinct and measurable contribution.</w:t>
      </w:r>
    </w:p>
    <w:p w14:paraId="412811C0" w14:textId="77777777" w:rsidR="000677BA" w:rsidRPr="00A95BB4" w:rsidRDefault="000677BA" w:rsidP="002E61E8">
      <w:pPr>
        <w:pStyle w:val="ListParagraph"/>
        <w:ind w:left="0"/>
        <w:jc w:val="both"/>
        <w:rPr>
          <w:rFonts w:cstheme="minorHAnsi"/>
        </w:rPr>
      </w:pPr>
    </w:p>
    <w:p w14:paraId="58DC8851" w14:textId="77777777" w:rsidR="003D2FA1" w:rsidRDefault="00101E98" w:rsidP="002E61E8">
      <w:pPr>
        <w:jc w:val="both"/>
        <w:rPr>
          <w:rFonts w:cstheme="minorHAnsi"/>
        </w:rPr>
      </w:pPr>
      <w:r w:rsidRPr="00A95BB4">
        <w:rPr>
          <w:rFonts w:cstheme="minorHAnsi"/>
        </w:rPr>
        <w:t xml:space="preserve">The </w:t>
      </w:r>
      <w:r w:rsidRPr="00A95BB4">
        <w:rPr>
          <w:rFonts w:cstheme="minorHAnsi"/>
          <w:b/>
          <w:bCs/>
        </w:rPr>
        <w:t>m</w:t>
      </w:r>
      <w:r w:rsidR="007B03E6" w:rsidRPr="00A95BB4">
        <w:rPr>
          <w:rFonts w:cstheme="minorHAnsi"/>
          <w:b/>
          <w:bCs/>
        </w:rPr>
        <w:t>ission</w:t>
      </w:r>
      <w:r w:rsidR="007B03E6" w:rsidRPr="00A95BB4">
        <w:rPr>
          <w:rFonts w:cstheme="minorHAnsi"/>
        </w:rPr>
        <w:t xml:space="preserve"> </w:t>
      </w:r>
      <w:r w:rsidRPr="00A95BB4">
        <w:rPr>
          <w:rFonts w:cstheme="minorHAnsi"/>
        </w:rPr>
        <w:t>of PMNCH is ‘T</w:t>
      </w:r>
      <w:r w:rsidR="006F29B6" w:rsidRPr="00A95BB4">
        <w:rPr>
          <w:rFonts w:cstheme="minorHAnsi"/>
        </w:rPr>
        <w:t>o mobilize</w:t>
      </w:r>
      <w:r w:rsidR="00190325" w:rsidRPr="00A95BB4">
        <w:rPr>
          <w:rFonts w:cstheme="minorHAnsi"/>
        </w:rPr>
        <w:t>,</w:t>
      </w:r>
      <w:r w:rsidR="002C5EA9" w:rsidRPr="00A95BB4">
        <w:rPr>
          <w:rFonts w:cstheme="minorHAnsi"/>
        </w:rPr>
        <w:t xml:space="preserve"> align </w:t>
      </w:r>
      <w:r w:rsidR="00190325" w:rsidRPr="00A95BB4">
        <w:rPr>
          <w:rFonts w:cstheme="minorHAnsi"/>
        </w:rPr>
        <w:t xml:space="preserve">and amplify the voice of </w:t>
      </w:r>
      <w:r w:rsidR="002C5EA9" w:rsidRPr="00A95BB4">
        <w:rPr>
          <w:rFonts w:cstheme="minorHAnsi"/>
        </w:rPr>
        <w:t xml:space="preserve">partners </w:t>
      </w:r>
      <w:r w:rsidR="006F29B6" w:rsidRPr="00A95BB4">
        <w:rPr>
          <w:rFonts w:cstheme="minorHAnsi"/>
        </w:rPr>
        <w:t>to advocate for women’s, children’s and adolescents’ health and well-being, particularly the most vulnerable</w:t>
      </w:r>
      <w:r w:rsidRPr="00A95BB4">
        <w:rPr>
          <w:rFonts w:cstheme="minorHAnsi"/>
        </w:rPr>
        <w:t>’.</w:t>
      </w:r>
      <w:r w:rsidR="00D243A8" w:rsidRPr="00A95BB4">
        <w:rPr>
          <w:rFonts w:cstheme="minorHAnsi"/>
        </w:rPr>
        <w:t xml:space="preserve"> </w:t>
      </w:r>
    </w:p>
    <w:p w14:paraId="3572FCF2" w14:textId="77777777" w:rsidR="003D2FA1" w:rsidRDefault="003D2FA1" w:rsidP="002E61E8">
      <w:pPr>
        <w:jc w:val="both"/>
        <w:rPr>
          <w:rFonts w:cstheme="minorHAnsi"/>
        </w:rPr>
      </w:pPr>
    </w:p>
    <w:p w14:paraId="393DC5D9" w14:textId="6209FE1F" w:rsidR="006F29B6" w:rsidRDefault="00D243A8" w:rsidP="002E61E8">
      <w:pPr>
        <w:jc w:val="both"/>
        <w:rPr>
          <w:rFonts w:cstheme="minorHAnsi"/>
        </w:rPr>
      </w:pPr>
      <w:r w:rsidRPr="00A95BB4">
        <w:rPr>
          <w:rFonts w:cstheme="minorHAnsi"/>
        </w:rPr>
        <w:t>This is the distinct fu</w:t>
      </w:r>
      <w:r w:rsidR="006C64A6">
        <w:rPr>
          <w:rFonts w:cstheme="minorHAnsi"/>
        </w:rPr>
        <w:t>n</w:t>
      </w:r>
      <w:r w:rsidRPr="00A95BB4">
        <w:rPr>
          <w:rFonts w:cstheme="minorHAnsi"/>
        </w:rPr>
        <w:t xml:space="preserve">ctional contribution that PMNCH seeks to make to that vision, leveraging the power of partnerships to drive </w:t>
      </w:r>
      <w:r w:rsidR="0084498C" w:rsidRPr="00A95BB4">
        <w:rPr>
          <w:rFonts w:cstheme="minorHAnsi"/>
        </w:rPr>
        <w:t>results for</w:t>
      </w:r>
      <w:r w:rsidRPr="00A95BB4">
        <w:rPr>
          <w:rFonts w:cstheme="minorHAnsi"/>
        </w:rPr>
        <w:t xml:space="preserve"> women’</w:t>
      </w:r>
      <w:r w:rsidR="006C64A6">
        <w:rPr>
          <w:rFonts w:cstheme="minorHAnsi"/>
        </w:rPr>
        <w:t>s</w:t>
      </w:r>
      <w:r w:rsidRPr="00A95BB4">
        <w:rPr>
          <w:rFonts w:cstheme="minorHAnsi"/>
        </w:rPr>
        <w:t>, children’</w:t>
      </w:r>
      <w:r w:rsidR="006C64A6">
        <w:rPr>
          <w:rFonts w:cstheme="minorHAnsi"/>
        </w:rPr>
        <w:t>s</w:t>
      </w:r>
      <w:r w:rsidRPr="00A95BB4">
        <w:rPr>
          <w:rFonts w:cstheme="minorHAnsi"/>
        </w:rPr>
        <w:t xml:space="preserve"> and adolescents’ health</w:t>
      </w:r>
      <w:r w:rsidR="006C64A6">
        <w:rPr>
          <w:rFonts w:cstheme="minorHAnsi"/>
        </w:rPr>
        <w:t xml:space="preserve"> and well-being</w:t>
      </w:r>
      <w:r w:rsidRPr="00A95BB4">
        <w:rPr>
          <w:rFonts w:cstheme="minorHAnsi"/>
        </w:rPr>
        <w:t>.</w:t>
      </w:r>
    </w:p>
    <w:p w14:paraId="47A21006" w14:textId="0D0AA742" w:rsidR="004A6604" w:rsidRDefault="004A6604">
      <w:pPr>
        <w:rPr>
          <w:rFonts w:cstheme="minorHAnsi"/>
          <w:b/>
          <w:bCs/>
          <w:color w:val="2F5496" w:themeColor="accent1" w:themeShade="BF"/>
        </w:rPr>
      </w:pPr>
    </w:p>
    <w:p w14:paraId="67C8440F" w14:textId="77777777" w:rsidR="003D2FA1" w:rsidRDefault="003D2FA1">
      <w:pPr>
        <w:rPr>
          <w:rFonts w:cstheme="minorHAnsi"/>
          <w:b/>
          <w:bCs/>
          <w:color w:val="2F5496" w:themeColor="accent1" w:themeShade="BF"/>
        </w:rPr>
      </w:pPr>
    </w:p>
    <w:p w14:paraId="254726ED" w14:textId="77777777" w:rsidR="003D2FA1" w:rsidRDefault="003D2FA1">
      <w:pPr>
        <w:rPr>
          <w:rFonts w:cstheme="minorHAnsi"/>
          <w:b/>
          <w:bCs/>
          <w:color w:val="2F5496" w:themeColor="accent1" w:themeShade="BF"/>
        </w:rPr>
      </w:pPr>
      <w:r>
        <w:rPr>
          <w:rFonts w:cstheme="minorHAnsi"/>
          <w:b/>
          <w:bCs/>
          <w:color w:val="2F5496" w:themeColor="accent1" w:themeShade="BF"/>
        </w:rPr>
        <w:br w:type="page"/>
      </w:r>
    </w:p>
    <w:p w14:paraId="47E011E4" w14:textId="175EA75C" w:rsidR="00394172" w:rsidRPr="0038568C" w:rsidRDefault="00FE516C" w:rsidP="0038568C">
      <w:pPr>
        <w:contextualSpacing/>
        <w:rPr>
          <w:rFonts w:cstheme="minorHAnsi"/>
          <w:b/>
          <w:bCs/>
          <w:color w:val="2F5496" w:themeColor="accent1" w:themeShade="BF"/>
        </w:rPr>
      </w:pPr>
      <w:r w:rsidRPr="0038568C">
        <w:rPr>
          <w:rFonts w:cstheme="minorHAnsi"/>
          <w:b/>
          <w:bCs/>
          <w:color w:val="2F5496" w:themeColor="accent1" w:themeShade="BF"/>
        </w:rPr>
        <w:t>4.</w:t>
      </w:r>
      <w:r w:rsidRPr="0038568C">
        <w:rPr>
          <w:rFonts w:cstheme="minorHAnsi"/>
          <w:b/>
          <w:bCs/>
          <w:color w:val="2F5496" w:themeColor="accent1" w:themeShade="BF"/>
        </w:rPr>
        <w:tab/>
      </w:r>
      <w:r w:rsidR="00394172" w:rsidRPr="0038568C">
        <w:rPr>
          <w:rFonts w:cstheme="minorHAnsi"/>
          <w:b/>
          <w:bCs/>
          <w:color w:val="2F5496" w:themeColor="accent1" w:themeShade="BF"/>
        </w:rPr>
        <w:t>THEORY OF CHANGE</w:t>
      </w:r>
    </w:p>
    <w:p w14:paraId="3A84761A" w14:textId="7BE5CE5C" w:rsidR="00FE516C" w:rsidRDefault="00FE516C" w:rsidP="00783B51">
      <w:pPr>
        <w:contextualSpacing/>
        <w:jc w:val="both"/>
        <w:rPr>
          <w:rFonts w:cstheme="minorHAnsi"/>
        </w:rPr>
      </w:pPr>
    </w:p>
    <w:p w14:paraId="3A2A8A7F" w14:textId="3C9539B5" w:rsidR="00101E98" w:rsidRDefault="002C6920" w:rsidP="00783B51">
      <w:pPr>
        <w:contextualSpacing/>
        <w:jc w:val="both"/>
        <w:rPr>
          <w:rFonts w:cstheme="minorHAnsi"/>
        </w:rPr>
      </w:pPr>
      <w:r>
        <w:rPr>
          <w:rFonts w:cstheme="minorHAnsi"/>
        </w:rPr>
        <w:t>The</w:t>
      </w:r>
      <w:r w:rsidR="00101E98">
        <w:rPr>
          <w:rFonts w:cstheme="minorHAnsi"/>
        </w:rPr>
        <w:t xml:space="preserve"> </w:t>
      </w:r>
      <w:r w:rsidR="00101E98" w:rsidRPr="00D22B95">
        <w:rPr>
          <w:rFonts w:cstheme="minorHAnsi"/>
          <w:b/>
          <w:bCs/>
        </w:rPr>
        <w:t>Theory of Change</w:t>
      </w:r>
      <w:r w:rsidR="00101E98">
        <w:rPr>
          <w:rFonts w:cstheme="minorHAnsi"/>
        </w:rPr>
        <w:t xml:space="preserve"> </w:t>
      </w:r>
      <w:r w:rsidR="00896724">
        <w:rPr>
          <w:rFonts w:cstheme="minorHAnsi"/>
        </w:rPr>
        <w:t xml:space="preserve">(see Annex 1) </w:t>
      </w:r>
      <w:r w:rsidR="00101E98">
        <w:rPr>
          <w:rFonts w:cstheme="minorHAnsi"/>
        </w:rPr>
        <w:t>that underpins this Strategy</w:t>
      </w:r>
      <w:r w:rsidR="000D7AC2">
        <w:rPr>
          <w:rFonts w:cstheme="minorHAnsi"/>
        </w:rPr>
        <w:t xml:space="preserve"> has five components</w:t>
      </w:r>
      <w:r w:rsidR="00571B02">
        <w:rPr>
          <w:rFonts w:cstheme="minorHAnsi"/>
        </w:rPr>
        <w:t xml:space="preserve"> that </w:t>
      </w:r>
      <w:r w:rsidR="00B87072">
        <w:rPr>
          <w:rFonts w:cstheme="minorHAnsi"/>
        </w:rPr>
        <w:t xml:space="preserve">together propose how </w:t>
      </w:r>
      <w:r w:rsidR="00E90E27">
        <w:rPr>
          <w:rFonts w:cstheme="minorHAnsi"/>
        </w:rPr>
        <w:t>PMNCH will contribute to the SDGs and to sustainable improvements in women’s</w:t>
      </w:r>
      <w:r w:rsidR="00896724">
        <w:rPr>
          <w:rFonts w:cstheme="minorHAnsi"/>
        </w:rPr>
        <w:t>,</w:t>
      </w:r>
      <w:r w:rsidR="00E90E27">
        <w:rPr>
          <w:rFonts w:cstheme="minorHAnsi"/>
        </w:rPr>
        <w:t xml:space="preserve"> children</w:t>
      </w:r>
      <w:r w:rsidR="00896724">
        <w:rPr>
          <w:rFonts w:cstheme="minorHAnsi"/>
        </w:rPr>
        <w:t>’s</w:t>
      </w:r>
      <w:r w:rsidR="00E90E27">
        <w:rPr>
          <w:rFonts w:cstheme="minorHAnsi"/>
        </w:rPr>
        <w:t xml:space="preserve"> and adolescents’ health</w:t>
      </w:r>
      <w:r w:rsidR="00896724">
        <w:rPr>
          <w:rFonts w:cstheme="minorHAnsi"/>
        </w:rPr>
        <w:t xml:space="preserve"> and well-being</w:t>
      </w:r>
      <w:r w:rsidR="00B87072">
        <w:rPr>
          <w:rFonts w:cstheme="minorHAnsi"/>
        </w:rPr>
        <w:t>, especially for the most vulnerable</w:t>
      </w:r>
      <w:r w:rsidR="00E90E27">
        <w:rPr>
          <w:rFonts w:cstheme="minorHAnsi"/>
        </w:rPr>
        <w:t>.</w:t>
      </w:r>
    </w:p>
    <w:p w14:paraId="769BB49D" w14:textId="4E6CF128" w:rsidR="000D7AC2" w:rsidRDefault="000D7AC2" w:rsidP="00783B51">
      <w:pPr>
        <w:contextualSpacing/>
        <w:jc w:val="both"/>
        <w:rPr>
          <w:rFonts w:cstheme="minorHAnsi"/>
        </w:rPr>
      </w:pPr>
    </w:p>
    <w:p w14:paraId="75E50BB0" w14:textId="2F4D8887" w:rsidR="008E17B8" w:rsidRDefault="000D7AC2" w:rsidP="00783B51">
      <w:pPr>
        <w:pStyle w:val="ListParagraph"/>
        <w:numPr>
          <w:ilvl w:val="0"/>
          <w:numId w:val="16"/>
        </w:numPr>
        <w:ind w:left="426" w:hanging="142"/>
        <w:jc w:val="both"/>
        <w:rPr>
          <w:rFonts w:cstheme="minorHAnsi"/>
        </w:rPr>
      </w:pPr>
      <w:r w:rsidRPr="00D22B95">
        <w:rPr>
          <w:rFonts w:cstheme="minorHAnsi"/>
          <w:b/>
          <w:bCs/>
        </w:rPr>
        <w:t>Problem Statement</w:t>
      </w:r>
      <w:r>
        <w:rPr>
          <w:rFonts w:cstheme="minorHAnsi"/>
        </w:rPr>
        <w:t xml:space="preserve"> </w:t>
      </w:r>
      <w:r w:rsidRPr="004A6604">
        <w:rPr>
          <w:rFonts w:cstheme="minorHAnsi"/>
          <w:i/>
          <w:iCs/>
        </w:rPr>
        <w:t xml:space="preserve">(the </w:t>
      </w:r>
      <w:r w:rsidR="008E17B8" w:rsidRPr="004A6604">
        <w:rPr>
          <w:rFonts w:cstheme="minorHAnsi"/>
          <w:i/>
          <w:iCs/>
        </w:rPr>
        <w:t>p</w:t>
      </w:r>
      <w:r w:rsidRPr="004A6604">
        <w:rPr>
          <w:rFonts w:cstheme="minorHAnsi"/>
          <w:i/>
          <w:iCs/>
        </w:rPr>
        <w:t>roblems that PMNCH is trying to address)</w:t>
      </w:r>
    </w:p>
    <w:p w14:paraId="5A92A7BE" w14:textId="77777777" w:rsidR="00053B99" w:rsidRDefault="00053B99" w:rsidP="00053B99">
      <w:pPr>
        <w:pStyle w:val="ListParagraph"/>
        <w:ind w:left="426"/>
        <w:jc w:val="both"/>
        <w:rPr>
          <w:rFonts w:cstheme="minorHAnsi"/>
        </w:rPr>
      </w:pPr>
    </w:p>
    <w:p w14:paraId="5DC1CDE1" w14:textId="2F810261" w:rsidR="00AA3754" w:rsidRPr="00AA3754" w:rsidRDefault="00783B51" w:rsidP="003B0F58">
      <w:pPr>
        <w:pStyle w:val="ListParagraph"/>
        <w:numPr>
          <w:ilvl w:val="0"/>
          <w:numId w:val="20"/>
        </w:numPr>
        <w:pBdr>
          <w:top w:val="single" w:sz="18" w:space="1" w:color="8EAADB" w:themeColor="accent1" w:themeTint="99"/>
          <w:left w:val="single" w:sz="18" w:space="4" w:color="8EAADB" w:themeColor="accent1" w:themeTint="99"/>
          <w:bottom w:val="single" w:sz="18" w:space="1" w:color="8EAADB" w:themeColor="accent1" w:themeTint="99"/>
          <w:right w:val="single" w:sz="18" w:space="4" w:color="8EAADB" w:themeColor="accent1" w:themeTint="99"/>
        </w:pBdr>
        <w:jc w:val="both"/>
        <w:rPr>
          <w:rFonts w:cstheme="minorHAnsi"/>
        </w:rPr>
      </w:pPr>
      <w:r w:rsidRPr="00924824">
        <w:rPr>
          <w:rFonts w:cstheme="minorHAnsi"/>
          <w:b/>
          <w:bCs/>
        </w:rPr>
        <w:t>M</w:t>
      </w:r>
      <w:r>
        <w:rPr>
          <w:rFonts w:cstheme="minorHAnsi"/>
          <w:b/>
          <w:bCs/>
        </w:rPr>
        <w:t xml:space="preserve">aternal, </w:t>
      </w:r>
      <w:proofErr w:type="spellStart"/>
      <w:r w:rsidRPr="00924824">
        <w:rPr>
          <w:rFonts w:cstheme="minorHAnsi"/>
          <w:b/>
          <w:bCs/>
        </w:rPr>
        <w:t>N</w:t>
      </w:r>
      <w:r>
        <w:rPr>
          <w:rFonts w:cstheme="minorHAnsi"/>
          <w:b/>
          <w:bCs/>
        </w:rPr>
        <w:t>ewborn</w:t>
      </w:r>
      <w:proofErr w:type="spellEnd"/>
      <w:r>
        <w:rPr>
          <w:rFonts w:cstheme="minorHAnsi"/>
          <w:b/>
          <w:bCs/>
        </w:rPr>
        <w:t xml:space="preserve"> &amp; </w:t>
      </w:r>
      <w:r w:rsidRPr="00924824">
        <w:rPr>
          <w:rFonts w:cstheme="minorHAnsi"/>
          <w:b/>
          <w:bCs/>
        </w:rPr>
        <w:t>C</w:t>
      </w:r>
      <w:r>
        <w:rPr>
          <w:rFonts w:cstheme="minorHAnsi"/>
          <w:b/>
          <w:bCs/>
        </w:rPr>
        <w:t>hild Health (MNCH)</w:t>
      </w:r>
      <w:r>
        <w:rPr>
          <w:rFonts w:cstheme="minorHAnsi"/>
        </w:rPr>
        <w:t xml:space="preserve">: </w:t>
      </w:r>
      <w:r w:rsidR="0010557D">
        <w:rPr>
          <w:rFonts w:cstheme="minorHAnsi"/>
        </w:rPr>
        <w:t>the</w:t>
      </w:r>
      <w:r w:rsidR="00AA3754" w:rsidRPr="00AA3754">
        <w:rPr>
          <w:rFonts w:cstheme="minorHAnsi"/>
        </w:rPr>
        <w:t xml:space="preserve"> unfinished agenda of the MDGs</w:t>
      </w:r>
      <w:r w:rsidR="0010557D">
        <w:rPr>
          <w:rFonts w:cstheme="minorHAnsi"/>
        </w:rPr>
        <w:t xml:space="preserve"> (</w:t>
      </w:r>
      <w:r w:rsidR="00AA3754" w:rsidRPr="00AA3754">
        <w:rPr>
          <w:rFonts w:cstheme="minorHAnsi"/>
        </w:rPr>
        <w:t xml:space="preserve">preventable maternal </w:t>
      </w:r>
      <w:r w:rsidR="00541CA7">
        <w:rPr>
          <w:rFonts w:cstheme="minorHAnsi"/>
        </w:rPr>
        <w:t>and</w:t>
      </w:r>
      <w:r w:rsidR="00AA3754" w:rsidRPr="00AA3754">
        <w:rPr>
          <w:rFonts w:cstheme="minorHAnsi"/>
        </w:rPr>
        <w:t xml:space="preserve"> child mortality</w:t>
      </w:r>
      <w:r w:rsidR="0010557D">
        <w:rPr>
          <w:rFonts w:cstheme="minorHAnsi"/>
        </w:rPr>
        <w:t xml:space="preserve">, </w:t>
      </w:r>
      <w:r w:rsidR="00AA3754" w:rsidRPr="00AA3754">
        <w:rPr>
          <w:rFonts w:cstheme="minorHAnsi"/>
        </w:rPr>
        <w:t>inc</w:t>
      </w:r>
      <w:r w:rsidR="0010557D">
        <w:rPr>
          <w:rFonts w:cstheme="minorHAnsi"/>
        </w:rPr>
        <w:t>luding</w:t>
      </w:r>
      <w:r w:rsidR="00AA3754" w:rsidRPr="00AA3754">
        <w:rPr>
          <w:rFonts w:cstheme="minorHAnsi"/>
        </w:rPr>
        <w:t xml:space="preserve"> </w:t>
      </w:r>
      <w:proofErr w:type="spellStart"/>
      <w:r w:rsidR="00AA3754" w:rsidRPr="00AA3754">
        <w:rPr>
          <w:rFonts w:cstheme="minorHAnsi"/>
        </w:rPr>
        <w:t>newborns</w:t>
      </w:r>
      <w:proofErr w:type="spellEnd"/>
      <w:r w:rsidR="00AA3754" w:rsidRPr="00AA3754">
        <w:rPr>
          <w:rFonts w:cstheme="minorHAnsi"/>
        </w:rPr>
        <w:t xml:space="preserve"> &amp; stillbirths</w:t>
      </w:r>
      <w:r w:rsidR="007504F8">
        <w:rPr>
          <w:rFonts w:cstheme="minorHAnsi"/>
        </w:rPr>
        <w:t>)</w:t>
      </w:r>
      <w:r w:rsidR="00E81812">
        <w:rPr>
          <w:rFonts w:cstheme="minorHAnsi"/>
        </w:rPr>
        <w:t xml:space="preserve">; particular focus on </w:t>
      </w:r>
      <w:r w:rsidR="00AA3754" w:rsidRPr="00AA3754">
        <w:rPr>
          <w:rFonts w:cstheme="minorHAnsi"/>
        </w:rPr>
        <w:t>humanitarian &amp; fragile settings</w:t>
      </w:r>
    </w:p>
    <w:p w14:paraId="0DF19E22" w14:textId="7A1C35D5" w:rsidR="00AA3754" w:rsidRPr="00AA3754" w:rsidRDefault="00783B51" w:rsidP="003B0F58">
      <w:pPr>
        <w:pStyle w:val="ListParagraph"/>
        <w:numPr>
          <w:ilvl w:val="0"/>
          <w:numId w:val="20"/>
        </w:numPr>
        <w:pBdr>
          <w:top w:val="single" w:sz="18" w:space="1" w:color="8EAADB" w:themeColor="accent1" w:themeTint="99"/>
          <w:left w:val="single" w:sz="18" w:space="4" w:color="8EAADB" w:themeColor="accent1" w:themeTint="99"/>
          <w:bottom w:val="single" w:sz="18" w:space="1" w:color="8EAADB" w:themeColor="accent1" w:themeTint="99"/>
          <w:right w:val="single" w:sz="18" w:space="4" w:color="8EAADB" w:themeColor="accent1" w:themeTint="99"/>
        </w:pBdr>
        <w:jc w:val="both"/>
        <w:rPr>
          <w:rFonts w:cstheme="minorHAnsi"/>
        </w:rPr>
      </w:pPr>
      <w:r w:rsidRPr="0010557D">
        <w:rPr>
          <w:rFonts w:cstheme="minorHAnsi"/>
          <w:b/>
          <w:bCs/>
        </w:rPr>
        <w:t>Sexual, Reproductive Health &amp; Rights (SRHR)</w:t>
      </w:r>
      <w:r w:rsidRPr="0010557D">
        <w:rPr>
          <w:rFonts w:cstheme="minorHAnsi"/>
        </w:rPr>
        <w:t xml:space="preserve">: </w:t>
      </w:r>
      <w:r w:rsidR="00AA3754" w:rsidRPr="0010557D">
        <w:rPr>
          <w:rFonts w:cstheme="minorHAnsi"/>
        </w:rPr>
        <w:t xml:space="preserve">morbidity </w:t>
      </w:r>
      <w:r w:rsidR="007504F8">
        <w:rPr>
          <w:rFonts w:cstheme="minorHAnsi"/>
        </w:rPr>
        <w:t>and</w:t>
      </w:r>
      <w:r w:rsidR="00AA3754" w:rsidRPr="0010557D">
        <w:rPr>
          <w:rFonts w:cstheme="minorHAnsi"/>
        </w:rPr>
        <w:t xml:space="preserve"> mortality</w:t>
      </w:r>
      <w:r w:rsidR="007504F8">
        <w:rPr>
          <w:rFonts w:cstheme="minorHAnsi"/>
        </w:rPr>
        <w:t xml:space="preserve"> relating to SRHR</w:t>
      </w:r>
      <w:r w:rsidR="0010557D" w:rsidRPr="0010557D">
        <w:rPr>
          <w:rFonts w:cstheme="minorHAnsi"/>
        </w:rPr>
        <w:t xml:space="preserve">; </w:t>
      </w:r>
      <w:r w:rsidR="007504F8">
        <w:rPr>
          <w:rFonts w:cstheme="minorHAnsi"/>
        </w:rPr>
        <w:t>politicization</w:t>
      </w:r>
      <w:r w:rsidR="00E90E27">
        <w:rPr>
          <w:rFonts w:cstheme="minorHAnsi"/>
        </w:rPr>
        <w:t xml:space="preserve"> of SRHR</w:t>
      </w:r>
      <w:r w:rsidR="007504F8">
        <w:rPr>
          <w:rFonts w:cstheme="minorHAnsi"/>
        </w:rPr>
        <w:t xml:space="preserve"> and threats to rights</w:t>
      </w:r>
    </w:p>
    <w:p w14:paraId="446C6AC4" w14:textId="2B55B8AA" w:rsidR="000D7AC2" w:rsidRPr="003B0F58" w:rsidRDefault="00783B51" w:rsidP="003B0F58">
      <w:pPr>
        <w:pStyle w:val="ListParagraph"/>
        <w:numPr>
          <w:ilvl w:val="0"/>
          <w:numId w:val="20"/>
        </w:numPr>
        <w:pBdr>
          <w:top w:val="single" w:sz="18" w:space="1" w:color="8EAADB" w:themeColor="accent1" w:themeTint="99"/>
          <w:left w:val="single" w:sz="18" w:space="4" w:color="8EAADB" w:themeColor="accent1" w:themeTint="99"/>
          <w:bottom w:val="single" w:sz="18" w:space="1" w:color="8EAADB" w:themeColor="accent1" w:themeTint="99"/>
          <w:right w:val="single" w:sz="18" w:space="4" w:color="8EAADB" w:themeColor="accent1" w:themeTint="99"/>
        </w:pBdr>
        <w:jc w:val="both"/>
        <w:rPr>
          <w:rFonts w:cstheme="minorHAnsi"/>
        </w:rPr>
      </w:pPr>
      <w:r w:rsidRPr="00783B51">
        <w:rPr>
          <w:rFonts w:cstheme="minorHAnsi"/>
          <w:b/>
          <w:bCs/>
        </w:rPr>
        <w:t>Adolescents</w:t>
      </w:r>
      <w:r w:rsidRPr="00783B51">
        <w:rPr>
          <w:rFonts w:cstheme="minorHAnsi"/>
        </w:rPr>
        <w:t xml:space="preserve">: </w:t>
      </w:r>
      <w:r w:rsidR="00541CA7">
        <w:rPr>
          <w:rFonts w:eastAsia="Times New Roman" w:cstheme="minorHAnsi"/>
        </w:rPr>
        <w:t xml:space="preserve">a growing and largely unaddressed burden relating to </w:t>
      </w:r>
      <w:r w:rsidR="00541CA7" w:rsidRPr="00FE516C">
        <w:rPr>
          <w:rFonts w:eastAsia="Times New Roman" w:cstheme="minorHAnsi"/>
        </w:rPr>
        <w:t>Adolescent Health and Well-being</w:t>
      </w:r>
    </w:p>
    <w:p w14:paraId="129A09BB" w14:textId="77777777" w:rsidR="003B0F58" w:rsidRPr="0010557D" w:rsidRDefault="003B0F58" w:rsidP="003B0F58">
      <w:pPr>
        <w:pStyle w:val="ListParagraph"/>
        <w:jc w:val="both"/>
        <w:rPr>
          <w:rFonts w:cstheme="minorHAnsi"/>
        </w:rPr>
      </w:pPr>
    </w:p>
    <w:p w14:paraId="3B1F7550" w14:textId="5B3F3F10" w:rsidR="003F62B9" w:rsidRDefault="003F62B9" w:rsidP="00783B51">
      <w:pPr>
        <w:pStyle w:val="ListParagraph"/>
        <w:ind w:left="426"/>
        <w:jc w:val="both"/>
        <w:rPr>
          <w:rFonts w:cstheme="minorHAnsi"/>
        </w:rPr>
      </w:pPr>
      <w:r>
        <w:rPr>
          <w:rFonts w:cstheme="minorHAnsi"/>
          <w:noProof/>
        </w:rPr>
        <mc:AlternateContent>
          <mc:Choice Requires="wps">
            <w:drawing>
              <wp:anchor distT="0" distB="0" distL="114300" distR="114300" simplePos="0" relativeHeight="251663360" behindDoc="0" locked="0" layoutInCell="1" allowOverlap="1" wp14:anchorId="016922F5" wp14:editId="0E64BCA8">
                <wp:simplePos x="0" y="0"/>
                <wp:positionH relativeFrom="column">
                  <wp:posOffset>2354580</wp:posOffset>
                </wp:positionH>
                <wp:positionV relativeFrom="paragraph">
                  <wp:posOffset>5080</wp:posOffset>
                </wp:positionV>
                <wp:extent cx="1203960" cy="243840"/>
                <wp:effectExtent l="38100" t="0" r="0" b="41910"/>
                <wp:wrapNone/>
                <wp:docPr id="1" name="Arrow: Down 1"/>
                <wp:cNvGraphicFramePr/>
                <a:graphic xmlns:a="http://schemas.openxmlformats.org/drawingml/2006/main">
                  <a:graphicData uri="http://schemas.microsoft.com/office/word/2010/wordprocessingShape">
                    <wps:wsp>
                      <wps:cNvSpPr/>
                      <wps:spPr>
                        <a:xfrm>
                          <a:off x="0" y="0"/>
                          <a:ext cx="1203960" cy="243840"/>
                        </a:xfrm>
                        <a:prstGeom prst="downArrow">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2A2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185.4pt;margin-top:.4pt;width:94.8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" adj="10800" fillcolor="#8eaadb [1940]" strokecolor="#8eaadb [1940]" strokeweight="1pt"/>
            </w:pict>
          </mc:Fallback>
        </mc:AlternateContent>
      </w:r>
    </w:p>
    <w:p w14:paraId="10A30666" w14:textId="3A7418B6" w:rsidR="003F62B9" w:rsidRDefault="003F62B9" w:rsidP="00783B51">
      <w:pPr>
        <w:pStyle w:val="ListParagraph"/>
        <w:ind w:left="426"/>
        <w:jc w:val="both"/>
        <w:rPr>
          <w:rFonts w:cstheme="minorHAnsi"/>
        </w:rPr>
      </w:pPr>
    </w:p>
    <w:p w14:paraId="32261B84" w14:textId="4C7B6E6C" w:rsidR="000D7AC2" w:rsidRDefault="000D7AC2" w:rsidP="00783B51">
      <w:pPr>
        <w:pStyle w:val="ListParagraph"/>
        <w:numPr>
          <w:ilvl w:val="0"/>
          <w:numId w:val="16"/>
        </w:numPr>
        <w:ind w:left="426" w:hanging="142"/>
        <w:jc w:val="both"/>
        <w:rPr>
          <w:rFonts w:cstheme="minorHAnsi"/>
        </w:rPr>
      </w:pPr>
      <w:r w:rsidRPr="00D22B95">
        <w:rPr>
          <w:rFonts w:cstheme="minorHAnsi"/>
          <w:b/>
          <w:bCs/>
        </w:rPr>
        <w:t>Objectives</w:t>
      </w:r>
      <w:r>
        <w:rPr>
          <w:rFonts w:cstheme="minorHAnsi"/>
        </w:rPr>
        <w:t xml:space="preserve"> </w:t>
      </w:r>
      <w:r w:rsidRPr="004A6604">
        <w:rPr>
          <w:rFonts w:cstheme="minorHAnsi"/>
          <w:i/>
          <w:iCs/>
        </w:rPr>
        <w:t xml:space="preserve">(the </w:t>
      </w:r>
      <w:r w:rsidR="008E17B8" w:rsidRPr="004A6604">
        <w:rPr>
          <w:rFonts w:cstheme="minorHAnsi"/>
          <w:i/>
          <w:iCs/>
        </w:rPr>
        <w:t>corresponding</w:t>
      </w:r>
      <w:r w:rsidRPr="004A6604">
        <w:rPr>
          <w:rFonts w:cstheme="minorHAnsi"/>
          <w:i/>
          <w:iCs/>
        </w:rPr>
        <w:t xml:space="preserve"> </w:t>
      </w:r>
      <w:r w:rsidR="008E17B8" w:rsidRPr="004A6604">
        <w:rPr>
          <w:rFonts w:cstheme="minorHAnsi"/>
          <w:i/>
          <w:iCs/>
        </w:rPr>
        <w:t>O</w:t>
      </w:r>
      <w:r w:rsidRPr="004A6604">
        <w:rPr>
          <w:rFonts w:cstheme="minorHAnsi"/>
          <w:i/>
          <w:iCs/>
        </w:rPr>
        <w:t>bjectives PMNCH will pursue for the Strategy period)</w:t>
      </w:r>
    </w:p>
    <w:p w14:paraId="19FA6B5D" w14:textId="77777777" w:rsidR="00053B99" w:rsidRPr="00053B99" w:rsidRDefault="00053B99" w:rsidP="00053B99">
      <w:pPr>
        <w:pStyle w:val="ListParagraph"/>
        <w:ind w:left="851"/>
        <w:jc w:val="both"/>
        <w:rPr>
          <w:rFonts w:cstheme="minorHAnsi"/>
        </w:rPr>
      </w:pPr>
    </w:p>
    <w:p w14:paraId="0338378A" w14:textId="6CAF6823" w:rsidR="00924824" w:rsidRPr="00E03271" w:rsidRDefault="008E17B8" w:rsidP="003B0F58">
      <w:pPr>
        <w:pStyle w:val="ListParagraph"/>
        <w:numPr>
          <w:ilvl w:val="0"/>
          <w:numId w:val="17"/>
        </w:numPr>
        <w:pBdr>
          <w:top w:val="single" w:sz="18" w:space="1" w:color="8EAADB" w:themeColor="accent1" w:themeTint="99"/>
          <w:left w:val="single" w:sz="18" w:space="4" w:color="8EAADB" w:themeColor="accent1" w:themeTint="99"/>
          <w:bottom w:val="single" w:sz="18" w:space="1" w:color="8EAADB" w:themeColor="accent1" w:themeTint="99"/>
          <w:right w:val="single" w:sz="18" w:space="4" w:color="8EAADB" w:themeColor="accent1" w:themeTint="99"/>
        </w:pBdr>
        <w:ind w:left="709"/>
        <w:jc w:val="both"/>
        <w:rPr>
          <w:rFonts w:cstheme="minorHAnsi"/>
        </w:rPr>
      </w:pPr>
      <w:r w:rsidRPr="00E03271">
        <w:rPr>
          <w:rFonts w:cstheme="minorHAnsi"/>
          <w:b/>
          <w:bCs/>
        </w:rPr>
        <w:t>M</w:t>
      </w:r>
      <w:r w:rsidR="00924824" w:rsidRPr="00E03271">
        <w:rPr>
          <w:rFonts w:cstheme="minorHAnsi"/>
          <w:b/>
          <w:bCs/>
        </w:rPr>
        <w:t xml:space="preserve">aternal, </w:t>
      </w:r>
      <w:proofErr w:type="spellStart"/>
      <w:r w:rsidRPr="00E03271">
        <w:rPr>
          <w:rFonts w:cstheme="minorHAnsi"/>
          <w:b/>
          <w:bCs/>
        </w:rPr>
        <w:t>N</w:t>
      </w:r>
      <w:r w:rsidR="00924824" w:rsidRPr="00E03271">
        <w:rPr>
          <w:rFonts w:cstheme="minorHAnsi"/>
          <w:b/>
          <w:bCs/>
        </w:rPr>
        <w:t>ewborn</w:t>
      </w:r>
      <w:proofErr w:type="spellEnd"/>
      <w:r w:rsidR="00924824" w:rsidRPr="00E03271">
        <w:rPr>
          <w:rFonts w:cstheme="minorHAnsi"/>
          <w:b/>
          <w:bCs/>
        </w:rPr>
        <w:t xml:space="preserve"> &amp; </w:t>
      </w:r>
      <w:r w:rsidRPr="00E03271">
        <w:rPr>
          <w:rFonts w:cstheme="minorHAnsi"/>
          <w:b/>
          <w:bCs/>
        </w:rPr>
        <w:t>C</w:t>
      </w:r>
      <w:r w:rsidR="00924824" w:rsidRPr="00E03271">
        <w:rPr>
          <w:rFonts w:cstheme="minorHAnsi"/>
          <w:b/>
          <w:bCs/>
        </w:rPr>
        <w:t>hild Health (MNCH)</w:t>
      </w:r>
      <w:r w:rsidRPr="00E03271">
        <w:rPr>
          <w:rFonts w:cstheme="minorHAnsi"/>
        </w:rPr>
        <w:t xml:space="preserve">: </w:t>
      </w:r>
      <w:r w:rsidR="00E03271" w:rsidRPr="00E03271">
        <w:rPr>
          <w:rFonts w:cstheme="minorHAnsi"/>
        </w:rPr>
        <w:t xml:space="preserve">amplifying action to reduce preventable MNC mortality and morbidity, including stillbirths, by stimulating the </w:t>
      </w:r>
      <w:r w:rsidR="00E03271" w:rsidRPr="00E03271">
        <w:rPr>
          <w:rFonts w:eastAsia="Times New Roman"/>
        </w:rPr>
        <w:t xml:space="preserve">integration of essential WCAH interventions in UHC and enhancing </w:t>
      </w:r>
      <w:r w:rsidR="00E03271" w:rsidRPr="00E03271">
        <w:rPr>
          <w:rFonts w:cstheme="minorHAnsi"/>
        </w:rPr>
        <w:t>high-quality services</w:t>
      </w:r>
    </w:p>
    <w:p w14:paraId="7B48984F" w14:textId="6A4A06BF" w:rsidR="00924824" w:rsidRPr="00E03271" w:rsidRDefault="00924824" w:rsidP="003B0F58">
      <w:pPr>
        <w:pStyle w:val="ListParagraph"/>
        <w:numPr>
          <w:ilvl w:val="0"/>
          <w:numId w:val="17"/>
        </w:numPr>
        <w:pBdr>
          <w:top w:val="single" w:sz="18" w:space="1" w:color="8EAADB" w:themeColor="accent1" w:themeTint="99"/>
          <w:left w:val="single" w:sz="18" w:space="4" w:color="8EAADB" w:themeColor="accent1" w:themeTint="99"/>
          <w:bottom w:val="single" w:sz="18" w:space="1" w:color="8EAADB" w:themeColor="accent1" w:themeTint="99"/>
          <w:right w:val="single" w:sz="18" w:space="4" w:color="8EAADB" w:themeColor="accent1" w:themeTint="99"/>
        </w:pBdr>
        <w:ind w:left="709"/>
        <w:jc w:val="both"/>
        <w:rPr>
          <w:rFonts w:cstheme="minorHAnsi"/>
        </w:rPr>
      </w:pPr>
      <w:r w:rsidRPr="00E03271">
        <w:rPr>
          <w:rFonts w:cstheme="minorHAnsi"/>
          <w:b/>
          <w:bCs/>
        </w:rPr>
        <w:t>Sexual, Reproductive Health &amp; Rights (</w:t>
      </w:r>
      <w:r w:rsidR="00D22B95" w:rsidRPr="00E03271">
        <w:rPr>
          <w:rFonts w:cstheme="minorHAnsi"/>
          <w:b/>
          <w:bCs/>
        </w:rPr>
        <w:t>SRHR</w:t>
      </w:r>
      <w:r w:rsidRPr="00E03271">
        <w:rPr>
          <w:rFonts w:cstheme="minorHAnsi"/>
          <w:b/>
          <w:bCs/>
        </w:rPr>
        <w:t>)</w:t>
      </w:r>
      <w:r w:rsidRPr="00E03271">
        <w:rPr>
          <w:rFonts w:cstheme="minorHAnsi"/>
        </w:rPr>
        <w:t xml:space="preserve">: </w:t>
      </w:r>
      <w:r w:rsidR="00E03271" w:rsidRPr="00E03271">
        <w:rPr>
          <w:rFonts w:cstheme="minorHAnsi"/>
        </w:rPr>
        <w:t xml:space="preserve">enhancing and aligning advocacy to uphold essential SRHR interventions and ensure continuous progress on </w:t>
      </w:r>
      <w:r w:rsidR="00E03271" w:rsidRPr="00E03271">
        <w:rPr>
          <w:iCs/>
        </w:rPr>
        <w:t>financing and equitable access to comprehensive SRHR packages</w:t>
      </w:r>
    </w:p>
    <w:p w14:paraId="03E85036" w14:textId="4F54E3C1" w:rsidR="008E17B8" w:rsidRPr="003B0F58" w:rsidRDefault="00D22B95" w:rsidP="003B0F58">
      <w:pPr>
        <w:pStyle w:val="ListParagraph"/>
        <w:numPr>
          <w:ilvl w:val="0"/>
          <w:numId w:val="17"/>
        </w:numPr>
        <w:pBdr>
          <w:top w:val="single" w:sz="18" w:space="1" w:color="8EAADB" w:themeColor="accent1" w:themeTint="99"/>
          <w:left w:val="single" w:sz="18" w:space="4" w:color="8EAADB" w:themeColor="accent1" w:themeTint="99"/>
          <w:bottom w:val="single" w:sz="18" w:space="1" w:color="8EAADB" w:themeColor="accent1" w:themeTint="99"/>
          <w:right w:val="single" w:sz="18" w:space="4" w:color="8EAADB" w:themeColor="accent1" w:themeTint="99"/>
        </w:pBdr>
        <w:ind w:left="709"/>
        <w:jc w:val="both"/>
        <w:rPr>
          <w:rFonts w:cstheme="minorHAnsi"/>
        </w:rPr>
      </w:pPr>
      <w:r w:rsidRPr="00E03271">
        <w:rPr>
          <w:rFonts w:cstheme="minorHAnsi"/>
          <w:b/>
          <w:bCs/>
        </w:rPr>
        <w:t>Adolescents</w:t>
      </w:r>
      <w:r w:rsidR="00924824" w:rsidRPr="00E03271">
        <w:rPr>
          <w:rFonts w:cstheme="minorHAnsi"/>
        </w:rPr>
        <w:t>:</w:t>
      </w:r>
      <w:r w:rsidR="008E17B8" w:rsidRPr="00E03271">
        <w:rPr>
          <w:rFonts w:cstheme="minorHAnsi"/>
        </w:rPr>
        <w:t xml:space="preserve"> </w:t>
      </w:r>
      <w:r w:rsidR="00E03271" w:rsidRPr="00E03271">
        <w:rPr>
          <w:rFonts w:cstheme="minorHAnsi"/>
        </w:rPr>
        <w:t xml:space="preserve">advancing the health and well-being of adolescents </w:t>
      </w:r>
      <w:r w:rsidR="00E03271" w:rsidRPr="00E03271">
        <w:t>by engaging, aligning and capacitating partners around the Adolescent Health and Well-Being Framework and related policy and action</w:t>
      </w:r>
    </w:p>
    <w:p w14:paraId="06B24799" w14:textId="77777777" w:rsidR="003B0F58" w:rsidRPr="00E03271" w:rsidRDefault="003B0F58" w:rsidP="003B0F58">
      <w:pPr>
        <w:pStyle w:val="ListParagraph"/>
        <w:ind w:left="851"/>
        <w:jc w:val="both"/>
        <w:rPr>
          <w:rFonts w:cstheme="minorHAnsi"/>
        </w:rPr>
      </w:pPr>
    </w:p>
    <w:p w14:paraId="5115B23A" w14:textId="0FBC0E55" w:rsidR="00924824" w:rsidRDefault="00E95CEF" w:rsidP="00783B51">
      <w:pPr>
        <w:pStyle w:val="ListParagraph"/>
        <w:ind w:left="426"/>
        <w:jc w:val="both"/>
        <w:rPr>
          <w:rFonts w:cstheme="minorHAnsi"/>
        </w:rPr>
      </w:pPr>
      <w:r>
        <w:rPr>
          <w:rFonts w:cstheme="minorHAnsi"/>
          <w:noProof/>
        </w:rPr>
        <mc:AlternateContent>
          <mc:Choice Requires="wps">
            <w:drawing>
              <wp:anchor distT="0" distB="0" distL="114300" distR="114300" simplePos="0" relativeHeight="251665408" behindDoc="0" locked="0" layoutInCell="1" allowOverlap="1" wp14:anchorId="0A9972F1" wp14:editId="58A0877D">
                <wp:simplePos x="0" y="0"/>
                <wp:positionH relativeFrom="column">
                  <wp:posOffset>2362200</wp:posOffset>
                </wp:positionH>
                <wp:positionV relativeFrom="paragraph">
                  <wp:posOffset>123190</wp:posOffset>
                </wp:positionV>
                <wp:extent cx="1203960" cy="243840"/>
                <wp:effectExtent l="38100" t="0" r="0" b="41910"/>
                <wp:wrapNone/>
                <wp:docPr id="7" name="Arrow: Down 7"/>
                <wp:cNvGraphicFramePr/>
                <a:graphic xmlns:a="http://schemas.openxmlformats.org/drawingml/2006/main">
                  <a:graphicData uri="http://schemas.microsoft.com/office/word/2010/wordprocessingShape">
                    <wps:wsp>
                      <wps:cNvSpPr/>
                      <wps:spPr>
                        <a:xfrm>
                          <a:off x="0" y="0"/>
                          <a:ext cx="1203960" cy="243840"/>
                        </a:xfrm>
                        <a:prstGeom prst="downArrow">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E50CE" id="Arrow: Down 7" o:spid="_x0000_s1026" type="#_x0000_t67" style="position:absolute;margin-left:186pt;margin-top:9.7pt;width:94.8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" adj="10800" fillcolor="#8eaadb [1940]" strokecolor="#8eaadb [1940]" strokeweight="1pt"/>
            </w:pict>
          </mc:Fallback>
        </mc:AlternateContent>
      </w:r>
    </w:p>
    <w:p w14:paraId="0EE5EF91" w14:textId="607C48BC" w:rsidR="003F62B9" w:rsidRDefault="003F62B9" w:rsidP="00783B51">
      <w:pPr>
        <w:pStyle w:val="ListParagraph"/>
        <w:ind w:left="426"/>
        <w:jc w:val="both"/>
        <w:rPr>
          <w:rFonts w:cstheme="minorHAnsi"/>
        </w:rPr>
      </w:pPr>
    </w:p>
    <w:p w14:paraId="1AFF3448" w14:textId="7415BFCC" w:rsidR="003F62B9" w:rsidRDefault="003F62B9" w:rsidP="00783B51">
      <w:pPr>
        <w:pStyle w:val="ListParagraph"/>
        <w:ind w:left="426"/>
        <w:jc w:val="both"/>
        <w:rPr>
          <w:rFonts w:cstheme="minorHAnsi"/>
        </w:rPr>
      </w:pPr>
    </w:p>
    <w:p w14:paraId="6E2FC117" w14:textId="7251B43E" w:rsidR="000D7AC2" w:rsidRPr="003B0F58" w:rsidRDefault="000D7AC2" w:rsidP="00783B51">
      <w:pPr>
        <w:pStyle w:val="ListParagraph"/>
        <w:numPr>
          <w:ilvl w:val="0"/>
          <w:numId w:val="16"/>
        </w:numPr>
        <w:ind w:left="426" w:hanging="142"/>
        <w:jc w:val="both"/>
        <w:rPr>
          <w:rFonts w:cstheme="minorHAnsi"/>
        </w:rPr>
      </w:pPr>
      <w:r w:rsidRPr="00D22B95">
        <w:rPr>
          <w:rFonts w:cstheme="minorHAnsi"/>
          <w:b/>
          <w:bCs/>
        </w:rPr>
        <w:t>Functions</w:t>
      </w:r>
      <w:r>
        <w:rPr>
          <w:rFonts w:cstheme="minorHAnsi"/>
        </w:rPr>
        <w:t xml:space="preserve"> </w:t>
      </w:r>
      <w:r w:rsidRPr="004A6604">
        <w:rPr>
          <w:rFonts w:cstheme="minorHAnsi"/>
          <w:i/>
          <w:iCs/>
        </w:rPr>
        <w:t>(how PMNC</w:t>
      </w:r>
      <w:r w:rsidR="00E03271">
        <w:rPr>
          <w:rFonts w:cstheme="minorHAnsi"/>
          <w:i/>
          <w:iCs/>
        </w:rPr>
        <w:t>H</w:t>
      </w:r>
      <w:r w:rsidRPr="004A6604">
        <w:rPr>
          <w:rFonts w:cstheme="minorHAnsi"/>
          <w:i/>
          <w:iCs/>
        </w:rPr>
        <w:t xml:space="preserve"> will deliver these Objectives)</w:t>
      </w:r>
    </w:p>
    <w:p w14:paraId="437CAA28" w14:textId="77777777" w:rsidR="003B0F58" w:rsidRDefault="003B0F58" w:rsidP="003B0F58">
      <w:pPr>
        <w:pStyle w:val="ListParagraph"/>
        <w:ind w:left="426"/>
        <w:jc w:val="both"/>
        <w:rPr>
          <w:rFonts w:cstheme="minorHAnsi"/>
        </w:rPr>
      </w:pPr>
    </w:p>
    <w:p w14:paraId="05987EBD" w14:textId="3BC256B1" w:rsidR="00053B99" w:rsidRDefault="003B0F58" w:rsidP="003B0F58">
      <w:pPr>
        <w:pStyle w:val="ListParagraph"/>
        <w:ind w:left="142"/>
        <w:jc w:val="both"/>
        <w:rPr>
          <w:rFonts w:cstheme="minorHAnsi"/>
        </w:rPr>
      </w:pPr>
      <w:r w:rsidRPr="003B0F58">
        <w:rPr>
          <w:rFonts w:cstheme="minorHAnsi"/>
          <w:noProof/>
        </w:rPr>
        <mc:AlternateContent>
          <mc:Choice Requires="wps">
            <w:drawing>
              <wp:inline distT="0" distB="0" distL="0" distR="0" wp14:anchorId="08510AC8" wp14:editId="67387CF0">
                <wp:extent cx="5721350" cy="1404620"/>
                <wp:effectExtent l="19050" t="19050" r="12700" b="241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rgbClr val="FFFFFF"/>
                        </a:solidFill>
                        <a:ln w="28575">
                          <a:solidFill>
                            <a:schemeClr val="accent1">
                              <a:lumMod val="60000"/>
                              <a:lumOff val="40000"/>
                            </a:schemeClr>
                          </a:solidFill>
                          <a:miter lim="800000"/>
                          <a:headEnd/>
                          <a:tailEnd/>
                        </a:ln>
                      </wps:spPr>
                      <wps:txbx>
                        <w:txbxContent>
                          <w:p w14:paraId="627A5B75" w14:textId="20DC22FA" w:rsidR="00B15F00" w:rsidRDefault="00B15F00" w:rsidP="006C64A6">
                            <w:pPr>
                              <w:pStyle w:val="ListParagraph"/>
                              <w:numPr>
                                <w:ilvl w:val="0"/>
                                <w:numId w:val="17"/>
                              </w:numPr>
                              <w:ind w:left="426"/>
                              <w:jc w:val="both"/>
                              <w:rPr>
                                <w:rFonts w:cstheme="minorHAnsi"/>
                              </w:rPr>
                            </w:pPr>
                            <w:r w:rsidRPr="00924824">
                              <w:rPr>
                                <w:rFonts w:cstheme="minorHAnsi"/>
                                <w:b/>
                                <w:bCs/>
                              </w:rPr>
                              <w:t>Advocacy</w:t>
                            </w:r>
                            <w:r>
                              <w:rPr>
                                <w:rFonts w:cstheme="minorHAnsi"/>
                              </w:rPr>
                              <w:t xml:space="preserve"> as PMNCH’s core function, supported by three main approaches:</w:t>
                            </w:r>
                          </w:p>
                          <w:p w14:paraId="0B1379AA" w14:textId="77777777" w:rsidR="00B15F00" w:rsidRDefault="00B15F00" w:rsidP="003B0F58">
                            <w:pPr>
                              <w:pStyle w:val="ListParagraph"/>
                              <w:ind w:left="851"/>
                              <w:jc w:val="both"/>
                              <w:rPr>
                                <w:rFonts w:cstheme="minorHAnsi"/>
                              </w:rPr>
                            </w:pPr>
                          </w:p>
                          <w:p w14:paraId="052F204A" w14:textId="77777777" w:rsidR="00B15F00" w:rsidRDefault="00B15F00" w:rsidP="006C64A6">
                            <w:pPr>
                              <w:pStyle w:val="ListParagraph"/>
                              <w:numPr>
                                <w:ilvl w:val="0"/>
                                <w:numId w:val="19"/>
                              </w:numPr>
                              <w:ind w:left="851" w:hanging="295"/>
                              <w:jc w:val="both"/>
                              <w:rPr>
                                <w:rFonts w:cstheme="minorHAnsi"/>
                              </w:rPr>
                            </w:pPr>
                            <w:r w:rsidRPr="00B067F7">
                              <w:rPr>
                                <w:rFonts w:cstheme="minorHAnsi"/>
                                <w:b/>
                                <w:bCs/>
                              </w:rPr>
                              <w:t>knowledge synthesis &amp; application</w:t>
                            </w:r>
                            <w:r>
                              <w:rPr>
                                <w:rFonts w:cstheme="minorHAnsi"/>
                              </w:rPr>
                              <w:t xml:space="preserve">: </w:t>
                            </w:r>
                            <w:r w:rsidRPr="00B067F7">
                              <w:rPr>
                                <w:rFonts w:cstheme="minorHAnsi"/>
                              </w:rPr>
                              <w:t>synthesising and packaging data and evidence to identify and illustrate gaps in progress; inform advocacy ‘asks’; and support consensus building in joint messaging for advocacy goals</w:t>
                            </w:r>
                          </w:p>
                          <w:p w14:paraId="7BF66CD4" w14:textId="77777777" w:rsidR="00B15F00" w:rsidRDefault="00B15F00" w:rsidP="006C64A6">
                            <w:pPr>
                              <w:pStyle w:val="ListParagraph"/>
                              <w:numPr>
                                <w:ilvl w:val="0"/>
                                <w:numId w:val="19"/>
                              </w:numPr>
                              <w:ind w:left="851" w:hanging="295"/>
                              <w:jc w:val="both"/>
                              <w:rPr>
                                <w:rFonts w:cstheme="minorHAnsi"/>
                              </w:rPr>
                            </w:pPr>
                            <w:r w:rsidRPr="00B067F7">
                              <w:rPr>
                                <w:rFonts w:cstheme="minorHAnsi"/>
                                <w:b/>
                                <w:bCs/>
                              </w:rPr>
                              <w:t xml:space="preserve">partner engagement, </w:t>
                            </w:r>
                            <w:r>
                              <w:rPr>
                                <w:rFonts w:cstheme="minorHAnsi"/>
                                <w:b/>
                                <w:bCs/>
                              </w:rPr>
                              <w:t>alignment</w:t>
                            </w:r>
                            <w:r w:rsidRPr="00B067F7">
                              <w:rPr>
                                <w:rFonts w:cstheme="minorHAnsi"/>
                                <w:b/>
                                <w:bCs/>
                              </w:rPr>
                              <w:t xml:space="preserve"> &amp; empowerment</w:t>
                            </w:r>
                            <w:r>
                              <w:rPr>
                                <w:rFonts w:cstheme="minorHAnsi"/>
                              </w:rPr>
                              <w:t xml:space="preserve">: </w:t>
                            </w:r>
                            <w:r w:rsidRPr="00B067F7">
                              <w:rPr>
                                <w:rFonts w:cstheme="minorHAnsi"/>
                              </w:rPr>
                              <w:t xml:space="preserve">connecting and aligning partners through digital methods and convening, and building their capacity to </w:t>
                            </w:r>
                            <w:r>
                              <w:rPr>
                                <w:rFonts w:cstheme="minorHAnsi"/>
                              </w:rPr>
                              <w:t>hold duty bearers to account and to be more effective advocates for WCAH</w:t>
                            </w:r>
                          </w:p>
                          <w:p w14:paraId="5ADFFDC2" w14:textId="43D3B57D" w:rsidR="00B15F00" w:rsidRPr="003B0F58" w:rsidRDefault="00B15F00" w:rsidP="006C64A6">
                            <w:pPr>
                              <w:pStyle w:val="ListParagraph"/>
                              <w:numPr>
                                <w:ilvl w:val="0"/>
                                <w:numId w:val="19"/>
                              </w:numPr>
                              <w:ind w:left="851" w:hanging="295"/>
                              <w:jc w:val="both"/>
                              <w:rPr>
                                <w:rFonts w:cstheme="minorHAnsi"/>
                              </w:rPr>
                            </w:pPr>
                            <w:r w:rsidRPr="00B067F7">
                              <w:rPr>
                                <w:rFonts w:cstheme="minorHAnsi"/>
                                <w:b/>
                                <w:bCs/>
                              </w:rPr>
                              <w:t>execution of campaigns &amp; accountability for outcomes</w:t>
                            </w:r>
                            <w:r>
                              <w:rPr>
                                <w:rFonts w:cstheme="minorHAnsi"/>
                              </w:rPr>
                              <w:t xml:space="preserve">: designing and conducting targeted advocacy campaigns </w:t>
                            </w:r>
                            <w:r w:rsidRPr="00A95BB4">
                              <w:rPr>
                                <w:rFonts w:cstheme="minorHAnsi"/>
                              </w:rPr>
                              <w:t>engaging all partners and high</w:t>
                            </w:r>
                            <w:r w:rsidR="006C64A6">
                              <w:rPr>
                                <w:rFonts w:cstheme="minorHAnsi"/>
                              </w:rPr>
                              <w:t>-</w:t>
                            </w:r>
                            <w:r w:rsidRPr="00A95BB4">
                              <w:rPr>
                                <w:rFonts w:cstheme="minorHAnsi"/>
                              </w:rPr>
                              <w:t>level champions to amplify evidence-based messages and achieve impact, holding all stakeholders to account</w:t>
                            </w:r>
                          </w:p>
                        </w:txbxContent>
                      </wps:txbx>
                      <wps:bodyPr rot="0" vert="horz" wrap="square" lIns="91440" tIns="45720" rIns="91440" bIns="45720" anchor="t" anchorCtr="0">
                        <a:spAutoFit/>
                      </wps:bodyPr>
                    </wps:wsp>
                  </a:graphicData>
                </a:graphic>
              </wp:inline>
            </w:drawing>
          </mc:Choice>
          <mc:Fallback>
            <w:pict>
              <v:shape w14:anchorId="08510AC8" id="_x0000_s1029" type="#_x0000_t202" style="width:4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" strokecolor="#8eaadb [1940]" strokeweight="2.25pt">
                <v:textbox style="mso-fit-shape-to-text:t">
                  <w:txbxContent>
                    <w:p w14:paraId="627A5B75" w14:textId="20DC22FA" w:rsidR="00B15F00" w:rsidRDefault="00B15F00" w:rsidP="006C64A6">
                      <w:pPr>
                        <w:pStyle w:val="ListParagraph"/>
                        <w:numPr>
                          <w:ilvl w:val="0"/>
                          <w:numId w:val="17"/>
                        </w:numPr>
                        <w:ind w:left="426"/>
                        <w:jc w:val="both"/>
                        <w:rPr>
                          <w:rFonts w:cstheme="minorHAnsi"/>
                        </w:rPr>
                      </w:pPr>
                      <w:r w:rsidRPr="00924824">
                        <w:rPr>
                          <w:rFonts w:cstheme="minorHAnsi"/>
                          <w:b/>
                          <w:bCs/>
                        </w:rPr>
                        <w:t>Advocacy</w:t>
                      </w:r>
                      <w:r>
                        <w:rPr>
                          <w:rFonts w:cstheme="minorHAnsi"/>
                        </w:rPr>
                        <w:t xml:space="preserve"> as PMNCH’s core function, supported by three main approaches:</w:t>
                      </w:r>
                    </w:p>
                    <w:p w14:paraId="0B1379AA" w14:textId="77777777" w:rsidR="00B15F00" w:rsidRDefault="00B15F00" w:rsidP="003B0F58">
                      <w:pPr>
                        <w:pStyle w:val="ListParagraph"/>
                        <w:ind w:left="851"/>
                        <w:jc w:val="both"/>
                        <w:rPr>
                          <w:rFonts w:cstheme="minorHAnsi"/>
                        </w:rPr>
                      </w:pPr>
                    </w:p>
                    <w:p w14:paraId="052F204A" w14:textId="77777777" w:rsidR="00B15F00" w:rsidRDefault="00B15F00" w:rsidP="006C64A6">
                      <w:pPr>
                        <w:pStyle w:val="ListParagraph"/>
                        <w:numPr>
                          <w:ilvl w:val="0"/>
                          <w:numId w:val="19"/>
                        </w:numPr>
                        <w:ind w:left="851" w:hanging="295"/>
                        <w:jc w:val="both"/>
                        <w:rPr>
                          <w:rFonts w:cstheme="minorHAnsi"/>
                        </w:rPr>
                      </w:pPr>
                      <w:r w:rsidRPr="00B067F7">
                        <w:rPr>
                          <w:rFonts w:cstheme="minorHAnsi"/>
                          <w:b/>
                          <w:bCs/>
                        </w:rPr>
                        <w:t>knowledge synthesis &amp; application</w:t>
                      </w:r>
                      <w:r>
                        <w:rPr>
                          <w:rFonts w:cstheme="minorHAnsi"/>
                        </w:rPr>
                        <w:t xml:space="preserve">: </w:t>
                      </w:r>
                      <w:r w:rsidRPr="00B067F7">
                        <w:rPr>
                          <w:rFonts w:cstheme="minorHAnsi"/>
                        </w:rPr>
                        <w:t>synthesising and packaging data and evidence to identify and illustrate gaps in progress; inform advocacy ‘asks’; and support consensus building in joint messaging for advocacy goals</w:t>
                      </w:r>
                    </w:p>
                    <w:p w14:paraId="7BF66CD4" w14:textId="77777777" w:rsidR="00B15F00" w:rsidRDefault="00B15F00" w:rsidP="006C64A6">
                      <w:pPr>
                        <w:pStyle w:val="ListParagraph"/>
                        <w:numPr>
                          <w:ilvl w:val="0"/>
                          <w:numId w:val="19"/>
                        </w:numPr>
                        <w:ind w:left="851" w:hanging="295"/>
                        <w:jc w:val="both"/>
                        <w:rPr>
                          <w:rFonts w:cstheme="minorHAnsi"/>
                        </w:rPr>
                      </w:pPr>
                      <w:r w:rsidRPr="00B067F7">
                        <w:rPr>
                          <w:rFonts w:cstheme="minorHAnsi"/>
                          <w:b/>
                          <w:bCs/>
                        </w:rPr>
                        <w:t xml:space="preserve">partner engagement, </w:t>
                      </w:r>
                      <w:r>
                        <w:rPr>
                          <w:rFonts w:cstheme="minorHAnsi"/>
                          <w:b/>
                          <w:bCs/>
                        </w:rPr>
                        <w:t>alignment</w:t>
                      </w:r>
                      <w:r w:rsidRPr="00B067F7">
                        <w:rPr>
                          <w:rFonts w:cstheme="minorHAnsi"/>
                          <w:b/>
                          <w:bCs/>
                        </w:rPr>
                        <w:t xml:space="preserve"> &amp; empowerment</w:t>
                      </w:r>
                      <w:r>
                        <w:rPr>
                          <w:rFonts w:cstheme="minorHAnsi"/>
                        </w:rPr>
                        <w:t xml:space="preserve">: </w:t>
                      </w:r>
                      <w:r w:rsidRPr="00B067F7">
                        <w:rPr>
                          <w:rFonts w:cstheme="minorHAnsi"/>
                        </w:rPr>
                        <w:t xml:space="preserve">connecting and aligning partners through digital methods and convening, and building their capacity to </w:t>
                      </w:r>
                      <w:r>
                        <w:rPr>
                          <w:rFonts w:cstheme="minorHAnsi"/>
                        </w:rPr>
                        <w:t>hold duty bearers to account and to be more effective advocates for WCAH</w:t>
                      </w:r>
                    </w:p>
                    <w:p w14:paraId="5ADFFDC2" w14:textId="43D3B57D" w:rsidR="00B15F00" w:rsidRPr="003B0F58" w:rsidRDefault="00B15F00" w:rsidP="006C64A6">
                      <w:pPr>
                        <w:pStyle w:val="ListParagraph"/>
                        <w:numPr>
                          <w:ilvl w:val="0"/>
                          <w:numId w:val="19"/>
                        </w:numPr>
                        <w:ind w:left="851" w:hanging="295"/>
                        <w:jc w:val="both"/>
                        <w:rPr>
                          <w:rFonts w:cstheme="minorHAnsi"/>
                        </w:rPr>
                      </w:pPr>
                      <w:r w:rsidRPr="00B067F7">
                        <w:rPr>
                          <w:rFonts w:cstheme="minorHAnsi"/>
                          <w:b/>
                          <w:bCs/>
                        </w:rPr>
                        <w:t>execution of campaigns &amp; accountability for outcomes</w:t>
                      </w:r>
                      <w:r>
                        <w:rPr>
                          <w:rFonts w:cstheme="minorHAnsi"/>
                        </w:rPr>
                        <w:t xml:space="preserve">: designing and conducting targeted advocacy campaigns </w:t>
                      </w:r>
                      <w:r w:rsidRPr="00A95BB4">
                        <w:rPr>
                          <w:rFonts w:cstheme="minorHAnsi"/>
                        </w:rPr>
                        <w:t>engaging all partners and high</w:t>
                      </w:r>
                      <w:r w:rsidR="006C64A6">
                        <w:rPr>
                          <w:rFonts w:cstheme="minorHAnsi"/>
                        </w:rPr>
                        <w:t>-</w:t>
                      </w:r>
                      <w:r w:rsidRPr="00A95BB4">
                        <w:rPr>
                          <w:rFonts w:cstheme="minorHAnsi"/>
                        </w:rPr>
                        <w:t>level champions to amplify evidence-based messages and achieve impact, holding all stakeholders to account</w:t>
                      </w:r>
                    </w:p>
                  </w:txbxContent>
                </v:textbox>
                <w10:anchorlock/>
              </v:shape>
            </w:pict>
          </mc:Fallback>
        </mc:AlternateContent>
      </w:r>
    </w:p>
    <w:p w14:paraId="2EF7622E" w14:textId="5471E0E6" w:rsidR="003B0F58" w:rsidRDefault="003B0F58" w:rsidP="003B0F58">
      <w:pPr>
        <w:pStyle w:val="ListParagraph"/>
        <w:ind w:left="0"/>
        <w:jc w:val="both"/>
        <w:rPr>
          <w:rFonts w:cstheme="minorHAnsi"/>
        </w:rPr>
      </w:pPr>
    </w:p>
    <w:p w14:paraId="0134A99B" w14:textId="73B682BC" w:rsidR="003B0F58" w:rsidRPr="00053B99" w:rsidRDefault="003B0F58" w:rsidP="003B0F58">
      <w:pPr>
        <w:pStyle w:val="ListParagraph"/>
        <w:ind w:left="0"/>
        <w:jc w:val="both"/>
        <w:rPr>
          <w:rFonts w:cstheme="minorHAnsi"/>
        </w:rPr>
      </w:pPr>
    </w:p>
    <w:p w14:paraId="48BFBA2C" w14:textId="77777777" w:rsidR="003B0F58" w:rsidRDefault="003B0F58" w:rsidP="003B0F58">
      <w:pPr>
        <w:pStyle w:val="ListParagraph"/>
        <w:ind w:left="1146"/>
        <w:jc w:val="both"/>
        <w:rPr>
          <w:rFonts w:cstheme="minorHAnsi"/>
        </w:rPr>
      </w:pPr>
    </w:p>
    <w:p w14:paraId="3C89BAF6" w14:textId="274A3653" w:rsidR="00E95CEF" w:rsidRDefault="00E95CEF" w:rsidP="00783B51">
      <w:pPr>
        <w:pStyle w:val="ListParagraph"/>
        <w:ind w:left="426"/>
        <w:jc w:val="both"/>
        <w:rPr>
          <w:rFonts w:cstheme="minorHAnsi"/>
        </w:rPr>
      </w:pPr>
      <w:r>
        <w:rPr>
          <w:rFonts w:cstheme="minorHAnsi"/>
          <w:noProof/>
        </w:rPr>
        <mc:AlternateContent>
          <mc:Choice Requires="wps">
            <w:drawing>
              <wp:anchor distT="0" distB="0" distL="114300" distR="114300" simplePos="0" relativeHeight="251667456" behindDoc="0" locked="0" layoutInCell="1" allowOverlap="1" wp14:anchorId="5880E2FA" wp14:editId="2DC77F45">
                <wp:simplePos x="0" y="0"/>
                <wp:positionH relativeFrom="column">
                  <wp:posOffset>2346960</wp:posOffset>
                </wp:positionH>
                <wp:positionV relativeFrom="paragraph">
                  <wp:posOffset>66675</wp:posOffset>
                </wp:positionV>
                <wp:extent cx="1203960" cy="243840"/>
                <wp:effectExtent l="38100" t="0" r="0" b="41910"/>
                <wp:wrapNone/>
                <wp:docPr id="8" name="Arrow: Down 8"/>
                <wp:cNvGraphicFramePr/>
                <a:graphic xmlns:a="http://schemas.openxmlformats.org/drawingml/2006/main">
                  <a:graphicData uri="http://schemas.microsoft.com/office/word/2010/wordprocessingShape">
                    <wps:wsp>
                      <wps:cNvSpPr/>
                      <wps:spPr>
                        <a:xfrm>
                          <a:off x="0" y="0"/>
                          <a:ext cx="1203960" cy="243840"/>
                        </a:xfrm>
                        <a:prstGeom prst="downArrow">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2E967" id="Arrow: Down 8" o:spid="_x0000_s1026" type="#_x0000_t67" style="position:absolute;margin-left:184.8pt;margin-top:5.25pt;width:94.8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" adj="10800" fillcolor="#8eaadb [1940]" strokecolor="#8eaadb [1940]" strokeweight="1pt"/>
            </w:pict>
          </mc:Fallback>
        </mc:AlternateContent>
      </w:r>
    </w:p>
    <w:p w14:paraId="56CF49F0" w14:textId="77777777" w:rsidR="00E95CEF" w:rsidRDefault="00E95CEF" w:rsidP="00783B51">
      <w:pPr>
        <w:pStyle w:val="ListParagraph"/>
        <w:ind w:left="426"/>
        <w:jc w:val="both"/>
        <w:rPr>
          <w:rFonts w:cstheme="minorHAnsi"/>
        </w:rPr>
      </w:pPr>
    </w:p>
    <w:p w14:paraId="00A36577" w14:textId="61ACBA47" w:rsidR="003B0F58" w:rsidRDefault="003B0F58" w:rsidP="003B0F58">
      <w:pPr>
        <w:pStyle w:val="ListParagraph"/>
        <w:ind w:left="426"/>
        <w:jc w:val="both"/>
        <w:rPr>
          <w:rFonts w:cstheme="minorHAnsi"/>
        </w:rPr>
      </w:pPr>
    </w:p>
    <w:p w14:paraId="25C1409A" w14:textId="7D1DF094" w:rsidR="000D7AC2" w:rsidRDefault="000D7AC2" w:rsidP="00783B51">
      <w:pPr>
        <w:pStyle w:val="ListParagraph"/>
        <w:numPr>
          <w:ilvl w:val="0"/>
          <w:numId w:val="16"/>
        </w:numPr>
        <w:ind w:left="426" w:hanging="142"/>
        <w:jc w:val="both"/>
        <w:rPr>
          <w:rFonts w:cstheme="minorHAnsi"/>
        </w:rPr>
      </w:pPr>
      <w:r w:rsidRPr="00D22B95">
        <w:rPr>
          <w:rFonts w:cstheme="minorHAnsi"/>
          <w:b/>
          <w:bCs/>
        </w:rPr>
        <w:t>Outcomes</w:t>
      </w:r>
      <w:r>
        <w:rPr>
          <w:rFonts w:cstheme="minorHAnsi"/>
        </w:rPr>
        <w:t xml:space="preserve"> </w:t>
      </w:r>
      <w:r w:rsidRPr="004A6604">
        <w:rPr>
          <w:rFonts w:cstheme="minorHAnsi"/>
          <w:i/>
          <w:iCs/>
        </w:rPr>
        <w:t xml:space="preserve">(the high-level </w:t>
      </w:r>
      <w:r w:rsidR="008E17B8" w:rsidRPr="004A6604">
        <w:rPr>
          <w:rFonts w:cstheme="minorHAnsi"/>
          <w:i/>
          <w:iCs/>
        </w:rPr>
        <w:t>O</w:t>
      </w:r>
      <w:r w:rsidRPr="004A6604">
        <w:rPr>
          <w:rFonts w:cstheme="minorHAnsi"/>
          <w:i/>
          <w:iCs/>
        </w:rPr>
        <w:t>utcomes that PMNCH’</w:t>
      </w:r>
      <w:r w:rsidR="008E17B8" w:rsidRPr="004A6604">
        <w:rPr>
          <w:rFonts w:cstheme="minorHAnsi"/>
          <w:i/>
          <w:iCs/>
        </w:rPr>
        <w:t>s</w:t>
      </w:r>
      <w:r w:rsidRPr="004A6604">
        <w:rPr>
          <w:rFonts w:cstheme="minorHAnsi"/>
          <w:i/>
          <w:iCs/>
        </w:rPr>
        <w:t xml:space="preserve"> activities will contribute to)</w:t>
      </w:r>
    </w:p>
    <w:p w14:paraId="099E8369" w14:textId="6C2AB6AB" w:rsidR="00053B99" w:rsidRDefault="00053B99" w:rsidP="00053B99">
      <w:pPr>
        <w:pStyle w:val="ListParagraph"/>
        <w:ind w:left="851"/>
        <w:jc w:val="both"/>
        <w:rPr>
          <w:rFonts w:cstheme="minorHAnsi"/>
        </w:rPr>
      </w:pPr>
    </w:p>
    <w:p w14:paraId="04B46D3B" w14:textId="77777777" w:rsidR="003B0F58" w:rsidRDefault="003B0F58" w:rsidP="003B0F58">
      <w:pPr>
        <w:pStyle w:val="ListParagraph"/>
        <w:ind w:left="142"/>
        <w:jc w:val="both"/>
        <w:rPr>
          <w:rFonts w:cstheme="minorHAnsi"/>
        </w:rPr>
      </w:pPr>
      <w:r w:rsidRPr="003B0F58">
        <w:rPr>
          <w:rFonts w:cstheme="minorHAnsi"/>
          <w:noProof/>
        </w:rPr>
        <mc:AlternateContent>
          <mc:Choice Requires="wps">
            <w:drawing>
              <wp:inline distT="0" distB="0" distL="0" distR="0" wp14:anchorId="5E568B2B" wp14:editId="3925D2EE">
                <wp:extent cx="5721350" cy="1404620"/>
                <wp:effectExtent l="19050" t="19050" r="12700" b="2413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rgbClr val="FFFFFF"/>
                        </a:solidFill>
                        <a:ln w="28575">
                          <a:solidFill>
                            <a:schemeClr val="accent1">
                              <a:lumMod val="60000"/>
                              <a:lumOff val="40000"/>
                            </a:schemeClr>
                          </a:solidFill>
                          <a:miter lim="800000"/>
                          <a:headEnd/>
                          <a:tailEnd/>
                        </a:ln>
                      </wps:spPr>
                      <wps:txbx>
                        <w:txbxContent>
                          <w:p w14:paraId="69EB6874" w14:textId="77777777" w:rsidR="00B15F00" w:rsidRDefault="00B15F00" w:rsidP="003D2FA1">
                            <w:pPr>
                              <w:pStyle w:val="ListParagraph"/>
                              <w:numPr>
                                <w:ilvl w:val="0"/>
                                <w:numId w:val="37"/>
                              </w:numPr>
                              <w:spacing w:line="360" w:lineRule="auto"/>
                              <w:ind w:left="567"/>
                              <w:jc w:val="both"/>
                              <w:rPr>
                                <w:rFonts w:cstheme="minorHAnsi"/>
                              </w:rPr>
                            </w:pPr>
                            <w:r w:rsidRPr="00783B51">
                              <w:rPr>
                                <w:rFonts w:cstheme="minorHAnsi"/>
                                <w:b/>
                                <w:bCs/>
                              </w:rPr>
                              <w:t>Policy</w:t>
                            </w:r>
                            <w:r>
                              <w:rPr>
                                <w:rFonts w:cstheme="minorHAnsi"/>
                              </w:rPr>
                              <w:t xml:space="preserve">: better policies and legislation for </w:t>
                            </w:r>
                            <w:r w:rsidRPr="00101E98">
                              <w:rPr>
                                <w:rFonts w:cstheme="minorHAnsi"/>
                              </w:rPr>
                              <w:t>women’s, children’s and adolescents’ health</w:t>
                            </w:r>
                          </w:p>
                          <w:p w14:paraId="07131FA2" w14:textId="77777777" w:rsidR="00B15F00" w:rsidRDefault="00B15F00" w:rsidP="003D2FA1">
                            <w:pPr>
                              <w:pStyle w:val="ListParagraph"/>
                              <w:numPr>
                                <w:ilvl w:val="0"/>
                                <w:numId w:val="37"/>
                              </w:numPr>
                              <w:spacing w:line="360" w:lineRule="auto"/>
                              <w:ind w:left="567"/>
                              <w:jc w:val="both"/>
                              <w:rPr>
                                <w:rFonts w:cstheme="minorHAnsi"/>
                              </w:rPr>
                            </w:pPr>
                            <w:r w:rsidRPr="00783B51">
                              <w:rPr>
                                <w:rFonts w:cstheme="minorHAnsi"/>
                                <w:b/>
                                <w:bCs/>
                              </w:rPr>
                              <w:t>Financing</w:t>
                            </w:r>
                            <w:r>
                              <w:rPr>
                                <w:rFonts w:cstheme="minorHAnsi"/>
                              </w:rPr>
                              <w:t xml:space="preserve">: more and better financing for </w:t>
                            </w:r>
                            <w:r w:rsidRPr="00101E98">
                              <w:rPr>
                                <w:rFonts w:cstheme="minorHAnsi"/>
                              </w:rPr>
                              <w:t>women’s, children’s and adolescents’ health</w:t>
                            </w:r>
                          </w:p>
                          <w:p w14:paraId="6B64884A" w14:textId="3D5D991A" w:rsidR="00B15F00" w:rsidRPr="003B0F58" w:rsidRDefault="00B15F00" w:rsidP="003D2FA1">
                            <w:pPr>
                              <w:pStyle w:val="ListParagraph"/>
                              <w:numPr>
                                <w:ilvl w:val="0"/>
                                <w:numId w:val="37"/>
                              </w:numPr>
                              <w:spacing w:line="360" w:lineRule="auto"/>
                              <w:ind w:left="567"/>
                              <w:jc w:val="both"/>
                              <w:rPr>
                                <w:rFonts w:cstheme="minorHAnsi"/>
                              </w:rPr>
                            </w:pPr>
                            <w:r w:rsidRPr="00783B51">
                              <w:rPr>
                                <w:rFonts w:cstheme="minorHAnsi"/>
                                <w:b/>
                                <w:bCs/>
                              </w:rPr>
                              <w:t>Services</w:t>
                            </w:r>
                            <w:r>
                              <w:rPr>
                                <w:rFonts w:cstheme="minorHAnsi"/>
                              </w:rPr>
                              <w:t>: increased &amp; more equitable coverage and uptake of quality services</w:t>
                            </w:r>
                          </w:p>
                        </w:txbxContent>
                      </wps:txbx>
                      <wps:bodyPr rot="0" vert="horz" wrap="square" lIns="91440" tIns="45720" rIns="91440" bIns="45720" anchor="t" anchorCtr="0">
                        <a:spAutoFit/>
                      </wps:bodyPr>
                    </wps:wsp>
                  </a:graphicData>
                </a:graphic>
              </wp:inline>
            </w:drawing>
          </mc:Choice>
          <mc:Fallback>
            <w:pict>
              <v:shape w14:anchorId="5E568B2B" id="Text Box 22" o:spid="_x0000_s1030" type="#_x0000_t202" style="width:45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" strokecolor="#8eaadb [1940]" strokeweight="2.25pt">
                <v:textbox style="mso-fit-shape-to-text:t">
                  <w:txbxContent>
                    <w:p w14:paraId="69EB6874" w14:textId="77777777" w:rsidR="00B15F00" w:rsidRDefault="00B15F00" w:rsidP="003D2FA1">
                      <w:pPr>
                        <w:pStyle w:val="ListParagraph"/>
                        <w:numPr>
                          <w:ilvl w:val="0"/>
                          <w:numId w:val="37"/>
                        </w:numPr>
                        <w:spacing w:line="360" w:lineRule="auto"/>
                        <w:ind w:left="567"/>
                        <w:jc w:val="both"/>
                        <w:rPr>
                          <w:rFonts w:cstheme="minorHAnsi"/>
                        </w:rPr>
                      </w:pPr>
                      <w:r w:rsidRPr="00783B51">
                        <w:rPr>
                          <w:rFonts w:cstheme="minorHAnsi"/>
                          <w:b/>
                          <w:bCs/>
                        </w:rPr>
                        <w:t>Policy</w:t>
                      </w:r>
                      <w:r>
                        <w:rPr>
                          <w:rFonts w:cstheme="minorHAnsi"/>
                        </w:rPr>
                        <w:t xml:space="preserve">: better policies and legislation for </w:t>
                      </w:r>
                      <w:r w:rsidRPr="00101E98">
                        <w:rPr>
                          <w:rFonts w:cstheme="minorHAnsi"/>
                        </w:rPr>
                        <w:t>women’s, children’s and adolescents’ health</w:t>
                      </w:r>
                    </w:p>
                    <w:p w14:paraId="07131FA2" w14:textId="77777777" w:rsidR="00B15F00" w:rsidRDefault="00B15F00" w:rsidP="003D2FA1">
                      <w:pPr>
                        <w:pStyle w:val="ListParagraph"/>
                        <w:numPr>
                          <w:ilvl w:val="0"/>
                          <w:numId w:val="37"/>
                        </w:numPr>
                        <w:spacing w:line="360" w:lineRule="auto"/>
                        <w:ind w:left="567"/>
                        <w:jc w:val="both"/>
                        <w:rPr>
                          <w:rFonts w:cstheme="minorHAnsi"/>
                        </w:rPr>
                      </w:pPr>
                      <w:r w:rsidRPr="00783B51">
                        <w:rPr>
                          <w:rFonts w:cstheme="minorHAnsi"/>
                          <w:b/>
                          <w:bCs/>
                        </w:rPr>
                        <w:t>Financing</w:t>
                      </w:r>
                      <w:r>
                        <w:rPr>
                          <w:rFonts w:cstheme="minorHAnsi"/>
                        </w:rPr>
                        <w:t xml:space="preserve">: more and better financing for </w:t>
                      </w:r>
                      <w:r w:rsidRPr="00101E98">
                        <w:rPr>
                          <w:rFonts w:cstheme="minorHAnsi"/>
                        </w:rPr>
                        <w:t>women’s, children’s and adolescents’ health</w:t>
                      </w:r>
                    </w:p>
                    <w:p w14:paraId="6B64884A" w14:textId="3D5D991A" w:rsidR="00B15F00" w:rsidRPr="003B0F58" w:rsidRDefault="00B15F00" w:rsidP="003D2FA1">
                      <w:pPr>
                        <w:pStyle w:val="ListParagraph"/>
                        <w:numPr>
                          <w:ilvl w:val="0"/>
                          <w:numId w:val="37"/>
                        </w:numPr>
                        <w:spacing w:line="360" w:lineRule="auto"/>
                        <w:ind w:left="567"/>
                        <w:jc w:val="both"/>
                        <w:rPr>
                          <w:rFonts w:cstheme="minorHAnsi"/>
                        </w:rPr>
                      </w:pPr>
                      <w:r w:rsidRPr="00783B51">
                        <w:rPr>
                          <w:rFonts w:cstheme="minorHAnsi"/>
                          <w:b/>
                          <w:bCs/>
                        </w:rPr>
                        <w:t>Services</w:t>
                      </w:r>
                      <w:r>
                        <w:rPr>
                          <w:rFonts w:cstheme="minorHAnsi"/>
                        </w:rPr>
                        <w:t>: increased &amp; more equitable coverage and uptake of quality services</w:t>
                      </w:r>
                    </w:p>
                  </w:txbxContent>
                </v:textbox>
                <w10:anchorlock/>
              </v:shape>
            </w:pict>
          </mc:Fallback>
        </mc:AlternateContent>
      </w:r>
    </w:p>
    <w:p w14:paraId="18CF28A2" w14:textId="77777777" w:rsidR="003B0F58" w:rsidRDefault="003B0F58" w:rsidP="003B0F58">
      <w:pPr>
        <w:pStyle w:val="ListParagraph"/>
        <w:ind w:left="0"/>
        <w:jc w:val="both"/>
        <w:rPr>
          <w:rFonts w:cstheme="minorHAnsi"/>
        </w:rPr>
      </w:pPr>
    </w:p>
    <w:p w14:paraId="474E3BAA" w14:textId="0DD1C804" w:rsidR="00E95CEF" w:rsidRDefault="00E95CEF" w:rsidP="00783B51">
      <w:pPr>
        <w:pStyle w:val="ListParagraph"/>
        <w:ind w:left="426"/>
        <w:jc w:val="both"/>
        <w:rPr>
          <w:rFonts w:cstheme="minorHAnsi"/>
        </w:rPr>
      </w:pPr>
      <w:r>
        <w:rPr>
          <w:rFonts w:cstheme="minorHAnsi"/>
          <w:noProof/>
        </w:rPr>
        <mc:AlternateContent>
          <mc:Choice Requires="wps">
            <w:drawing>
              <wp:anchor distT="0" distB="0" distL="114300" distR="114300" simplePos="0" relativeHeight="251669504" behindDoc="0" locked="0" layoutInCell="1" allowOverlap="1" wp14:anchorId="4FEB8E2C" wp14:editId="6AF457FA">
                <wp:simplePos x="0" y="0"/>
                <wp:positionH relativeFrom="column">
                  <wp:posOffset>2339340</wp:posOffset>
                </wp:positionH>
                <wp:positionV relativeFrom="paragraph">
                  <wp:posOffset>10160</wp:posOffset>
                </wp:positionV>
                <wp:extent cx="1203960" cy="243840"/>
                <wp:effectExtent l="38100" t="0" r="0" b="41910"/>
                <wp:wrapNone/>
                <wp:docPr id="9" name="Arrow: Down 9"/>
                <wp:cNvGraphicFramePr/>
                <a:graphic xmlns:a="http://schemas.openxmlformats.org/drawingml/2006/main">
                  <a:graphicData uri="http://schemas.microsoft.com/office/word/2010/wordprocessingShape">
                    <wps:wsp>
                      <wps:cNvSpPr/>
                      <wps:spPr>
                        <a:xfrm>
                          <a:off x="0" y="0"/>
                          <a:ext cx="1203960" cy="243840"/>
                        </a:xfrm>
                        <a:prstGeom prst="downArrow">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3B371" id="Arrow: Down 9" o:spid="_x0000_s1026" type="#_x0000_t67" style="position:absolute;margin-left:184.2pt;margin-top:.8pt;width:94.8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" adj="10800" fillcolor="#8eaadb [1940]" strokecolor="#8eaadb [1940]" strokeweight="1pt"/>
            </w:pict>
          </mc:Fallback>
        </mc:AlternateContent>
      </w:r>
    </w:p>
    <w:p w14:paraId="6C1DD096" w14:textId="048C1A18" w:rsidR="00E95CEF" w:rsidRDefault="00E95CEF" w:rsidP="00783B51">
      <w:pPr>
        <w:pStyle w:val="ListParagraph"/>
        <w:ind w:left="426"/>
        <w:jc w:val="both"/>
        <w:rPr>
          <w:rFonts w:cstheme="minorHAnsi"/>
        </w:rPr>
      </w:pPr>
    </w:p>
    <w:p w14:paraId="11170884" w14:textId="77777777" w:rsidR="003B0F58" w:rsidRPr="003B0F58" w:rsidRDefault="003B0F58" w:rsidP="003B0F58">
      <w:pPr>
        <w:pStyle w:val="ListParagraph"/>
        <w:ind w:left="426"/>
        <w:jc w:val="both"/>
        <w:rPr>
          <w:rFonts w:cstheme="minorHAnsi"/>
        </w:rPr>
      </w:pPr>
    </w:p>
    <w:p w14:paraId="604185AC" w14:textId="4D283129" w:rsidR="00D243A8" w:rsidRDefault="000D7AC2" w:rsidP="003D2FA1">
      <w:pPr>
        <w:pStyle w:val="ListParagraph"/>
        <w:numPr>
          <w:ilvl w:val="0"/>
          <w:numId w:val="16"/>
        </w:numPr>
        <w:ind w:left="426" w:hanging="142"/>
        <w:jc w:val="both"/>
        <w:rPr>
          <w:rFonts w:cstheme="minorHAnsi"/>
        </w:rPr>
      </w:pPr>
      <w:r w:rsidRPr="00D22B95">
        <w:rPr>
          <w:rFonts w:cstheme="minorHAnsi"/>
          <w:b/>
          <w:bCs/>
        </w:rPr>
        <w:t>Impact</w:t>
      </w:r>
      <w:r>
        <w:rPr>
          <w:rFonts w:cstheme="minorHAnsi"/>
        </w:rPr>
        <w:t xml:space="preserve"> </w:t>
      </w:r>
      <w:r w:rsidRPr="004A6604">
        <w:rPr>
          <w:rFonts w:cstheme="minorHAnsi"/>
          <w:i/>
          <w:iCs/>
        </w:rPr>
        <w:t>(the impact associated with those Outcomes)</w:t>
      </w:r>
      <w:r w:rsidR="003D2FA1" w:rsidRPr="000D7AC2" w:rsidDel="003D2FA1">
        <w:rPr>
          <w:rFonts w:cstheme="minorHAnsi"/>
        </w:rPr>
        <w:t xml:space="preserve"> </w:t>
      </w:r>
    </w:p>
    <w:p w14:paraId="2D1B691E" w14:textId="0F9C7127" w:rsidR="00D243A8" w:rsidRDefault="00D243A8" w:rsidP="003B0F58">
      <w:pPr>
        <w:pStyle w:val="ListParagraph"/>
        <w:ind w:left="142"/>
        <w:jc w:val="both"/>
        <w:rPr>
          <w:rFonts w:cstheme="minorHAnsi"/>
        </w:rPr>
      </w:pPr>
    </w:p>
    <w:p w14:paraId="7FADA30E" w14:textId="77777777" w:rsidR="00D243A8" w:rsidRDefault="00D243A8" w:rsidP="003B0F58">
      <w:pPr>
        <w:pStyle w:val="ListParagraph"/>
        <w:ind w:left="142"/>
        <w:jc w:val="both"/>
        <w:rPr>
          <w:rFonts w:cstheme="minorHAnsi"/>
        </w:rPr>
      </w:pPr>
    </w:p>
    <w:p w14:paraId="37FB517D" w14:textId="7BC5E99B" w:rsidR="003B0F58" w:rsidRDefault="00D243A8" w:rsidP="00D243A8">
      <w:pPr>
        <w:pStyle w:val="ListParagraph"/>
        <w:ind w:left="0"/>
        <w:jc w:val="both"/>
        <w:rPr>
          <w:rFonts w:cstheme="minorHAnsi"/>
        </w:rPr>
      </w:pPr>
      <w:r>
        <w:rPr>
          <w:rFonts w:cstheme="minorHAnsi"/>
          <w:noProof/>
        </w:rPr>
        <w:drawing>
          <wp:inline distT="0" distB="0" distL="0" distR="0" wp14:anchorId="729FE9B3" wp14:editId="10E1BA86">
            <wp:extent cx="5897880" cy="4019550"/>
            <wp:effectExtent l="0" t="0" r="26670" b="1905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3FEB9A6" w14:textId="22BF74D0" w:rsidR="00D56C81" w:rsidRDefault="00D56C81" w:rsidP="00D243A8">
      <w:pPr>
        <w:contextualSpacing/>
        <w:rPr>
          <w:rFonts w:cstheme="minorHAnsi"/>
        </w:rPr>
      </w:pPr>
    </w:p>
    <w:p w14:paraId="48773E54" w14:textId="219EEDAA" w:rsidR="00144A5D" w:rsidRPr="00A95BB4" w:rsidRDefault="00144A5D" w:rsidP="00223A25">
      <w:pPr>
        <w:contextualSpacing/>
        <w:jc w:val="both"/>
        <w:rPr>
          <w:rFonts w:cstheme="minorHAnsi"/>
        </w:rPr>
      </w:pPr>
    </w:p>
    <w:p w14:paraId="1C479F50" w14:textId="2BE642FF" w:rsidR="00E45F19" w:rsidRDefault="003D2FA1" w:rsidP="00223A25">
      <w:pPr>
        <w:jc w:val="both"/>
        <w:rPr>
          <w:rFonts w:cstheme="minorHAnsi"/>
          <w:b/>
          <w:bCs/>
          <w:color w:val="2F5496" w:themeColor="accent1" w:themeShade="BF"/>
        </w:rPr>
      </w:pPr>
      <w:r>
        <w:rPr>
          <w:rFonts w:cstheme="minorHAnsi"/>
        </w:rPr>
        <w:t>With this Theory of Change and systematic way of working</w:t>
      </w:r>
      <w:r w:rsidR="00223A25">
        <w:rPr>
          <w:rFonts w:cstheme="minorHAnsi"/>
        </w:rPr>
        <w:t>,</w:t>
      </w:r>
      <w:r>
        <w:rPr>
          <w:rFonts w:cstheme="minorHAnsi"/>
        </w:rPr>
        <w:t xml:space="preserve"> PMNCH should be able to contribute to even stronger impact by being more focu</w:t>
      </w:r>
      <w:r w:rsidR="00223A25">
        <w:rPr>
          <w:rFonts w:cstheme="minorHAnsi"/>
        </w:rPr>
        <w:t>sed,</w:t>
      </w:r>
      <w:r>
        <w:rPr>
          <w:rFonts w:cstheme="minorHAnsi"/>
        </w:rPr>
        <w:t xml:space="preserve"> and</w:t>
      </w:r>
      <w:r w:rsidR="00223A25">
        <w:rPr>
          <w:rFonts w:cstheme="minorHAnsi"/>
        </w:rPr>
        <w:t xml:space="preserve">, </w:t>
      </w:r>
      <w:r>
        <w:rPr>
          <w:rFonts w:cstheme="minorHAnsi"/>
        </w:rPr>
        <w:t>th</w:t>
      </w:r>
      <w:r w:rsidR="00223A25">
        <w:rPr>
          <w:rFonts w:cstheme="minorHAnsi"/>
        </w:rPr>
        <w:t>ro</w:t>
      </w:r>
      <w:r>
        <w:rPr>
          <w:rFonts w:cstheme="minorHAnsi"/>
        </w:rPr>
        <w:t>ugh a more distinct function</w:t>
      </w:r>
      <w:r w:rsidR="00223A25">
        <w:rPr>
          <w:rFonts w:cstheme="minorHAnsi"/>
        </w:rPr>
        <w:t>al focus on Advocacy,</w:t>
      </w:r>
      <w:r>
        <w:rPr>
          <w:rFonts w:cstheme="minorHAnsi"/>
        </w:rPr>
        <w:t xml:space="preserve"> play its role in the global health landscape.</w:t>
      </w:r>
      <w:r w:rsidR="00223A25">
        <w:rPr>
          <w:rFonts w:cstheme="minorHAnsi"/>
        </w:rPr>
        <w:t xml:space="preserve"> </w:t>
      </w:r>
      <w:r w:rsidR="000D7AC2" w:rsidRPr="00A95BB4">
        <w:rPr>
          <w:rFonts w:cstheme="minorHAnsi"/>
          <w:b/>
          <w:bCs/>
        </w:rPr>
        <w:t>Objectives</w:t>
      </w:r>
      <w:r w:rsidR="000D7AC2" w:rsidRPr="00A95BB4">
        <w:rPr>
          <w:rFonts w:cstheme="minorHAnsi"/>
        </w:rPr>
        <w:t xml:space="preserve">, </w:t>
      </w:r>
      <w:r w:rsidR="000D7AC2" w:rsidRPr="00A95BB4">
        <w:rPr>
          <w:rFonts w:cstheme="minorHAnsi"/>
          <w:b/>
          <w:bCs/>
        </w:rPr>
        <w:t>Functions</w:t>
      </w:r>
      <w:r w:rsidR="001A180F" w:rsidRPr="00A95BB4">
        <w:rPr>
          <w:rFonts w:cstheme="minorHAnsi"/>
          <w:b/>
          <w:bCs/>
        </w:rPr>
        <w:t xml:space="preserve"> </w:t>
      </w:r>
      <w:r w:rsidR="000D7AC2" w:rsidRPr="00A95BB4">
        <w:rPr>
          <w:rFonts w:cstheme="minorHAnsi"/>
        </w:rPr>
        <w:t xml:space="preserve">and </w:t>
      </w:r>
      <w:r w:rsidR="000D7AC2" w:rsidRPr="00A95BB4">
        <w:rPr>
          <w:rFonts w:cstheme="minorHAnsi"/>
          <w:b/>
          <w:bCs/>
        </w:rPr>
        <w:t>Outcomes</w:t>
      </w:r>
      <w:r w:rsidR="000D7AC2" w:rsidRPr="00A95BB4">
        <w:rPr>
          <w:rFonts w:cstheme="minorHAnsi"/>
        </w:rPr>
        <w:t xml:space="preserve"> are further detailed in the Sections that follow.</w:t>
      </w:r>
      <w:r w:rsidR="00144A5D" w:rsidRPr="00A95BB4">
        <w:rPr>
          <w:rFonts w:cstheme="minorHAnsi"/>
        </w:rPr>
        <w:t xml:space="preserve"> Section 5 fo</w:t>
      </w:r>
      <w:r w:rsidR="00390CA4" w:rsidRPr="00A95BB4">
        <w:rPr>
          <w:rFonts w:cstheme="minorHAnsi"/>
        </w:rPr>
        <w:t>c</w:t>
      </w:r>
      <w:r w:rsidR="00144A5D" w:rsidRPr="00A95BB4">
        <w:rPr>
          <w:rFonts w:cstheme="minorHAnsi"/>
        </w:rPr>
        <w:t xml:space="preserve">uses on </w:t>
      </w:r>
      <w:r w:rsidR="00390CA4" w:rsidRPr="00A95BB4">
        <w:rPr>
          <w:rFonts w:cstheme="minorHAnsi"/>
        </w:rPr>
        <w:t xml:space="preserve">PMNCH </w:t>
      </w:r>
      <w:r w:rsidR="00390CA4" w:rsidRPr="00A95BB4">
        <w:rPr>
          <w:rFonts w:cstheme="minorHAnsi"/>
          <w:b/>
          <w:bCs/>
        </w:rPr>
        <w:t>Objectives</w:t>
      </w:r>
      <w:r w:rsidR="00390CA4" w:rsidRPr="00A95BB4">
        <w:rPr>
          <w:rFonts w:cstheme="minorHAnsi"/>
        </w:rPr>
        <w:t xml:space="preserve"> relating to the three focus areas of MNCH, SRHR and Adolescents: what a</w:t>
      </w:r>
      <w:r>
        <w:rPr>
          <w:rFonts w:cstheme="minorHAnsi"/>
        </w:rPr>
        <w:t>r</w:t>
      </w:r>
      <w:r w:rsidR="00390CA4" w:rsidRPr="00A95BB4">
        <w:rPr>
          <w:rFonts w:cstheme="minorHAnsi"/>
        </w:rPr>
        <w:t>e the issues; what PMNCH will do; and how it will build on PMNCH work to date.</w:t>
      </w:r>
      <w:r w:rsidR="00390CA4">
        <w:rPr>
          <w:rFonts w:cstheme="minorHAnsi"/>
        </w:rPr>
        <w:t xml:space="preserve"> </w:t>
      </w:r>
      <w:r>
        <w:rPr>
          <w:rFonts w:cstheme="minorHAnsi"/>
        </w:rPr>
        <w:t xml:space="preserve"> The COVID-19 situation has and will continue to influence more or less all aspects of PMNCH’s work but PMNCH’s focus and role remains even more valid.</w:t>
      </w:r>
    </w:p>
    <w:p w14:paraId="40CAB5A8" w14:textId="3048F075" w:rsidR="00C7694D" w:rsidRDefault="00FE516C" w:rsidP="0038568C">
      <w:pPr>
        <w:contextualSpacing/>
        <w:rPr>
          <w:rFonts w:cstheme="minorHAnsi"/>
          <w:b/>
          <w:bCs/>
          <w:color w:val="2F5496" w:themeColor="accent1" w:themeShade="BF"/>
        </w:rPr>
      </w:pPr>
      <w:r w:rsidRPr="0038568C">
        <w:rPr>
          <w:rFonts w:cstheme="minorHAnsi"/>
          <w:b/>
          <w:bCs/>
          <w:color w:val="2F5496" w:themeColor="accent1" w:themeShade="BF"/>
        </w:rPr>
        <w:t>5.</w:t>
      </w:r>
      <w:r w:rsidRPr="0038568C">
        <w:rPr>
          <w:rFonts w:cstheme="minorHAnsi"/>
          <w:b/>
          <w:bCs/>
          <w:color w:val="2F5496" w:themeColor="accent1" w:themeShade="BF"/>
        </w:rPr>
        <w:tab/>
      </w:r>
      <w:r w:rsidR="00ED3DD0" w:rsidRPr="0038568C">
        <w:rPr>
          <w:rFonts w:cstheme="minorHAnsi"/>
          <w:b/>
          <w:bCs/>
          <w:color w:val="2F5496" w:themeColor="accent1" w:themeShade="BF"/>
        </w:rPr>
        <w:t>PMNCH OBJECTIVES</w:t>
      </w:r>
    </w:p>
    <w:p w14:paraId="2C4D02F9" w14:textId="31CD278A" w:rsidR="00C7694D" w:rsidRDefault="00C7694D" w:rsidP="0084498C">
      <w:pPr>
        <w:contextualSpacing/>
        <w:jc w:val="both"/>
        <w:rPr>
          <w:rFonts w:cstheme="minorHAnsi"/>
          <w:b/>
          <w:bCs/>
          <w:color w:val="2F5496" w:themeColor="accent1" w:themeShade="BF"/>
        </w:rPr>
      </w:pPr>
    </w:p>
    <w:p w14:paraId="2672A38A" w14:textId="406B3739" w:rsidR="0084498C" w:rsidRPr="0084498C" w:rsidRDefault="0084498C" w:rsidP="0084498C">
      <w:pPr>
        <w:contextualSpacing/>
        <w:jc w:val="both"/>
        <w:rPr>
          <w:rFonts w:cstheme="minorHAnsi"/>
        </w:rPr>
      </w:pPr>
      <w:r w:rsidRPr="00A95BB4">
        <w:rPr>
          <w:rFonts w:cstheme="minorHAnsi"/>
        </w:rPr>
        <w:t>PMNCH’s three focus areas and corresponding Object</w:t>
      </w:r>
      <w:r w:rsidR="00896724">
        <w:rPr>
          <w:rFonts w:cstheme="minorHAnsi"/>
        </w:rPr>
        <w:t>i</w:t>
      </w:r>
      <w:r w:rsidRPr="00A95BB4">
        <w:rPr>
          <w:rFonts w:cstheme="minorHAnsi"/>
        </w:rPr>
        <w:t xml:space="preserve">ves are described separately below, but they are inextricably linked. They will be addressed as part of a </w:t>
      </w:r>
      <w:r w:rsidR="00223A25" w:rsidRPr="00A95BB4">
        <w:rPr>
          <w:rFonts w:cstheme="minorHAnsi"/>
        </w:rPr>
        <w:t>Conti</w:t>
      </w:r>
      <w:r w:rsidR="00223A25">
        <w:rPr>
          <w:rFonts w:cstheme="minorHAnsi"/>
        </w:rPr>
        <w:t>n</w:t>
      </w:r>
      <w:r w:rsidR="00223A25" w:rsidRPr="00A95BB4">
        <w:rPr>
          <w:rFonts w:cstheme="minorHAnsi"/>
        </w:rPr>
        <w:t xml:space="preserve">uum </w:t>
      </w:r>
      <w:r w:rsidRPr="00A95BB4">
        <w:rPr>
          <w:rFonts w:cstheme="minorHAnsi"/>
        </w:rPr>
        <w:t>of Care within a Life Course Approach (see figure below).</w:t>
      </w:r>
    </w:p>
    <w:p w14:paraId="5C22B1E6" w14:textId="23EF5639" w:rsidR="0084498C" w:rsidRDefault="0084498C" w:rsidP="0084498C">
      <w:pPr>
        <w:contextualSpacing/>
        <w:jc w:val="both"/>
        <w:rPr>
          <w:rFonts w:cstheme="minorHAnsi"/>
          <w:b/>
          <w:bCs/>
          <w:color w:val="2F5496" w:themeColor="accent1" w:themeShade="BF"/>
        </w:rPr>
      </w:pPr>
    </w:p>
    <w:p w14:paraId="39BEB736" w14:textId="77777777" w:rsidR="0084498C" w:rsidRDefault="0084498C" w:rsidP="0084498C">
      <w:pPr>
        <w:contextualSpacing/>
        <w:jc w:val="center"/>
        <w:rPr>
          <w:rFonts w:cstheme="minorHAnsi"/>
          <w:b/>
          <w:bCs/>
          <w:color w:val="2F5496" w:themeColor="accent1" w:themeShade="BF"/>
        </w:rPr>
      </w:pPr>
      <w:r w:rsidRPr="001738DD">
        <w:rPr>
          <w:noProof/>
        </w:rPr>
        <w:drawing>
          <wp:inline distT="0" distB="0" distL="0" distR="0" wp14:anchorId="3811106E" wp14:editId="01B01DF0">
            <wp:extent cx="5511800" cy="145411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4101" cy="1462640"/>
                    </a:xfrm>
                    <a:prstGeom prst="rect">
                      <a:avLst/>
                    </a:prstGeom>
                    <a:noFill/>
                    <a:ln>
                      <a:noFill/>
                    </a:ln>
                  </pic:spPr>
                </pic:pic>
              </a:graphicData>
            </a:graphic>
          </wp:inline>
        </w:drawing>
      </w:r>
    </w:p>
    <w:p w14:paraId="64875D3E" w14:textId="77777777" w:rsidR="0084498C" w:rsidRPr="00DF3722" w:rsidRDefault="0084498C" w:rsidP="0084498C">
      <w:pPr>
        <w:contextualSpacing/>
        <w:jc w:val="center"/>
        <w:rPr>
          <w:rFonts w:cstheme="minorHAnsi"/>
          <w:i/>
          <w:iCs/>
          <w:sz w:val="20"/>
          <w:szCs w:val="20"/>
        </w:rPr>
      </w:pPr>
      <w:r w:rsidRPr="00A95BB4">
        <w:rPr>
          <w:rFonts w:cstheme="minorHAnsi"/>
          <w:i/>
          <w:iCs/>
          <w:sz w:val="20"/>
          <w:szCs w:val="20"/>
        </w:rPr>
        <w:t>PMNCH will adopt a Life Course Approach to WCAH [may adapt this graphic]</w:t>
      </w:r>
    </w:p>
    <w:p w14:paraId="2FCB7EA8" w14:textId="2CC6C47B" w:rsidR="0084498C" w:rsidRDefault="0084498C" w:rsidP="0038568C">
      <w:pPr>
        <w:contextualSpacing/>
        <w:rPr>
          <w:rFonts w:cstheme="minorHAnsi"/>
          <w:b/>
          <w:bCs/>
          <w:color w:val="2F5496" w:themeColor="accent1" w:themeShade="BF"/>
        </w:rPr>
      </w:pPr>
    </w:p>
    <w:p w14:paraId="1AA2671C" w14:textId="21445089" w:rsidR="00103AD6" w:rsidRPr="00A04D96" w:rsidRDefault="00103AD6" w:rsidP="00D43BF8">
      <w:pPr>
        <w:numPr>
          <w:ilvl w:val="0"/>
          <w:numId w:val="32"/>
        </w:numPr>
        <w:tabs>
          <w:tab w:val="left" w:pos="567"/>
        </w:tabs>
        <w:ind w:left="284" w:hanging="284"/>
        <w:contextualSpacing/>
        <w:jc w:val="both"/>
        <w:rPr>
          <w:rFonts w:cstheme="minorHAnsi"/>
          <w:color w:val="2F5496" w:themeColor="accent1" w:themeShade="BF"/>
        </w:rPr>
      </w:pPr>
      <w:r w:rsidRPr="0066742D">
        <w:rPr>
          <w:rFonts w:cstheme="minorHAnsi"/>
          <w:b/>
          <w:bCs/>
          <w:color w:val="2F5496" w:themeColor="accent1" w:themeShade="BF"/>
        </w:rPr>
        <w:t xml:space="preserve">Maternal, </w:t>
      </w:r>
      <w:proofErr w:type="spellStart"/>
      <w:r w:rsidRPr="0066742D">
        <w:rPr>
          <w:rFonts w:cstheme="minorHAnsi"/>
          <w:b/>
          <w:bCs/>
          <w:color w:val="2F5496" w:themeColor="accent1" w:themeShade="BF"/>
        </w:rPr>
        <w:t>newborn</w:t>
      </w:r>
      <w:proofErr w:type="spellEnd"/>
      <w:r w:rsidRPr="0066742D">
        <w:rPr>
          <w:rFonts w:cstheme="minorHAnsi"/>
          <w:b/>
          <w:bCs/>
          <w:color w:val="2F5496" w:themeColor="accent1" w:themeShade="BF"/>
        </w:rPr>
        <w:t xml:space="preserve"> and child health (MNCH)</w:t>
      </w:r>
      <w:r w:rsidR="00A04D96">
        <w:rPr>
          <w:rFonts w:cstheme="minorHAnsi"/>
          <w:b/>
          <w:bCs/>
          <w:color w:val="2F5496" w:themeColor="accent1" w:themeShade="BF"/>
        </w:rPr>
        <w:t xml:space="preserve">: </w:t>
      </w:r>
      <w:r w:rsidR="00A04D96" w:rsidRPr="00A04D96">
        <w:rPr>
          <w:rFonts w:cstheme="minorHAnsi"/>
          <w:color w:val="4472C4" w:themeColor="accent1"/>
        </w:rPr>
        <w:t>a</w:t>
      </w:r>
      <w:r w:rsidRPr="00A04D96">
        <w:rPr>
          <w:rFonts w:cstheme="minorHAnsi"/>
          <w:color w:val="4472C4" w:themeColor="accent1"/>
        </w:rPr>
        <w:t xml:space="preserve">mplifying action to reduce preventable MNC mortality and morbidity, including stillbirths, by stimulating the </w:t>
      </w:r>
      <w:r w:rsidRPr="00A04D96">
        <w:rPr>
          <w:rFonts w:eastAsia="Times New Roman"/>
          <w:color w:val="4472C4" w:themeColor="accent1"/>
        </w:rPr>
        <w:t xml:space="preserve">integration of essential WCAH interventions in UHC and enhancing </w:t>
      </w:r>
      <w:r w:rsidRPr="00A04D96">
        <w:rPr>
          <w:rFonts w:cstheme="minorHAnsi"/>
          <w:color w:val="4472C4" w:themeColor="accent1"/>
        </w:rPr>
        <w:t>high-quality services</w:t>
      </w:r>
    </w:p>
    <w:p w14:paraId="635A62DA" w14:textId="5A3C1B59" w:rsidR="00103AD6" w:rsidRDefault="00103AD6" w:rsidP="00103AD6">
      <w:pPr>
        <w:contextualSpacing/>
        <w:jc w:val="both"/>
        <w:rPr>
          <w:rFonts w:cs="Cera PRO"/>
          <w:color w:val="000000"/>
        </w:rPr>
      </w:pPr>
    </w:p>
    <w:p w14:paraId="29BE0B62" w14:textId="5AD64C8A" w:rsidR="00D43BF8" w:rsidRDefault="00103AD6" w:rsidP="00D43BF8">
      <w:pPr>
        <w:contextualSpacing/>
        <w:jc w:val="both"/>
        <w:rPr>
          <w:rFonts w:cs="Cera PRO"/>
          <w:color w:val="000000"/>
        </w:rPr>
      </w:pPr>
      <w:r w:rsidRPr="0066742D">
        <w:rPr>
          <w:rFonts w:cs="Cera PRO"/>
          <w:color w:val="000000"/>
        </w:rPr>
        <w:t>While significant progress</w:t>
      </w:r>
      <w:r w:rsidR="0052748D">
        <w:rPr>
          <w:rFonts w:cs="Cera PRO"/>
          <w:color w:val="000000"/>
        </w:rPr>
        <w:t xml:space="preserve"> has been achieved</w:t>
      </w:r>
      <w:r w:rsidRPr="0066742D">
        <w:rPr>
          <w:rFonts w:cs="Cera PRO"/>
          <w:color w:val="000000"/>
        </w:rPr>
        <w:t xml:space="preserve"> in bringing down under-5 child mortality rates</w:t>
      </w:r>
      <w:r w:rsidRPr="0066742D">
        <w:rPr>
          <w:rFonts w:cs="Cera PRO"/>
          <w:color w:val="000000"/>
          <w:vertAlign w:val="superscript"/>
        </w:rPr>
        <w:endnoteReference w:id="1"/>
      </w:r>
      <w:r w:rsidRPr="0066742D">
        <w:rPr>
          <w:rFonts w:cs="Cera PRO"/>
          <w:color w:val="000000"/>
        </w:rPr>
        <w:t xml:space="preserve"> (from 93 to 39 per 1,000 live births between 1990 and 2018), progress around </w:t>
      </w:r>
      <w:proofErr w:type="spellStart"/>
      <w:r w:rsidRPr="0066742D">
        <w:rPr>
          <w:rFonts w:cs="Cera PRO"/>
          <w:color w:val="000000"/>
        </w:rPr>
        <w:t>newborn</w:t>
      </w:r>
      <w:proofErr w:type="spellEnd"/>
      <w:r w:rsidRPr="0066742D">
        <w:rPr>
          <w:rFonts w:cs="Cera PRO"/>
          <w:color w:val="000000"/>
        </w:rPr>
        <w:t xml:space="preserve"> mortality and stillbirths has lagged behind. In 2018 it was estimated that almost half of under 5 deaths were occurring in the neonatal period</w:t>
      </w:r>
      <w:r>
        <w:rPr>
          <w:rStyle w:val="EndnoteReference"/>
          <w:rFonts w:cs="Cera PRO"/>
          <w:color w:val="000000"/>
        </w:rPr>
        <w:endnoteReference w:id="2"/>
      </w:r>
      <w:r w:rsidR="00D43BF8">
        <w:rPr>
          <w:rFonts w:cs="Cera PRO"/>
          <w:color w:val="000000"/>
        </w:rPr>
        <w:t xml:space="preserve">, </w:t>
      </w:r>
      <w:r>
        <w:rPr>
          <w:rFonts w:cs="Cera PRO"/>
          <w:color w:val="000000"/>
        </w:rPr>
        <w:t xml:space="preserve">and </w:t>
      </w:r>
      <w:r w:rsidR="00D43BF8">
        <w:rPr>
          <w:rFonts w:cs="Cera PRO"/>
          <w:color w:val="000000"/>
        </w:rPr>
        <w:t>that only half</w:t>
      </w:r>
      <w:r>
        <w:t xml:space="preserve"> of small and sick </w:t>
      </w:r>
      <w:proofErr w:type="spellStart"/>
      <w:r>
        <w:t>newborns</w:t>
      </w:r>
      <w:proofErr w:type="spellEnd"/>
      <w:r>
        <w:t xml:space="preserve"> have access to quality care</w:t>
      </w:r>
      <w:r>
        <w:rPr>
          <w:rStyle w:val="EndnoteReference"/>
        </w:rPr>
        <w:endnoteReference w:id="3"/>
      </w:r>
      <w:r>
        <w:rPr>
          <w:rFonts w:cs="Cera PRO"/>
          <w:color w:val="000000"/>
        </w:rPr>
        <w:t>.</w:t>
      </w:r>
      <w:r w:rsidR="00DA29E1">
        <w:rPr>
          <w:rFonts w:cs="Cera PRO"/>
          <w:color w:val="000000"/>
        </w:rPr>
        <w:t xml:space="preserve"> </w:t>
      </w:r>
      <w:r w:rsidR="00D43BF8">
        <w:rPr>
          <w:rFonts w:cs="Cera PRO"/>
          <w:color w:val="000000"/>
        </w:rPr>
        <w:t>W</w:t>
      </w:r>
      <w:r w:rsidRPr="0066742D">
        <w:rPr>
          <w:rFonts w:cs="Cera PRO"/>
          <w:color w:val="000000"/>
        </w:rPr>
        <w:t xml:space="preserve">hile </w:t>
      </w:r>
      <w:r w:rsidR="0052748D">
        <w:rPr>
          <w:rFonts w:cs="Cera PRO"/>
          <w:color w:val="000000"/>
        </w:rPr>
        <w:t xml:space="preserve">the </w:t>
      </w:r>
      <w:r w:rsidRPr="0066742D">
        <w:rPr>
          <w:rFonts w:cs="Cera PRO"/>
          <w:color w:val="000000"/>
        </w:rPr>
        <w:t>global maternal mortality rate (MMR) is estimated to have fallen by 38% in 2017 compared to 2000, there are wide variations between countries. Sub-Saharan Africa is estimated to account for two thirds of the global maternal deaths in 2017</w:t>
      </w:r>
      <w:r w:rsidR="00896724">
        <w:rPr>
          <w:rFonts w:cs="Cera PRO"/>
          <w:color w:val="000000"/>
        </w:rPr>
        <w:t xml:space="preserve">. </w:t>
      </w:r>
      <w:r w:rsidRPr="0066742D">
        <w:t>MMR in least developed countries is more than 40 times higher than</w:t>
      </w:r>
      <w:r w:rsidR="0052748D">
        <w:t xml:space="preserve"> </w:t>
      </w:r>
      <w:r w:rsidRPr="0066742D">
        <w:t>in Europe</w:t>
      </w:r>
      <w:r w:rsidRPr="0066742D">
        <w:rPr>
          <w:vertAlign w:val="superscript"/>
        </w:rPr>
        <w:endnoteReference w:id="4"/>
      </w:r>
      <w:r w:rsidRPr="0066742D">
        <w:t>.</w:t>
      </w:r>
    </w:p>
    <w:p w14:paraId="55EF5EE3" w14:textId="77777777" w:rsidR="00103AD6" w:rsidRDefault="00103AD6" w:rsidP="00103AD6">
      <w:pPr>
        <w:contextualSpacing/>
        <w:jc w:val="both"/>
        <w:rPr>
          <w:rFonts w:cs="Cera PRO"/>
          <w:color w:val="000000"/>
        </w:rPr>
      </w:pPr>
    </w:p>
    <w:p w14:paraId="5B1808F3" w14:textId="64022385" w:rsidR="00103AD6" w:rsidRDefault="00103AD6" w:rsidP="00103AD6">
      <w:pPr>
        <w:contextualSpacing/>
        <w:jc w:val="both"/>
        <w:rPr>
          <w:rFonts w:cs="Cera PRO"/>
          <w:color w:val="000000"/>
        </w:rPr>
      </w:pPr>
      <w:r>
        <w:t xml:space="preserve">The movement for </w:t>
      </w:r>
      <w:r w:rsidR="00896724">
        <w:t>U</w:t>
      </w:r>
      <w:r>
        <w:t xml:space="preserve">niversal </w:t>
      </w:r>
      <w:r w:rsidR="00896724">
        <w:t>H</w:t>
      </w:r>
      <w:r>
        <w:t xml:space="preserve">ealth </w:t>
      </w:r>
      <w:r w:rsidR="00896724">
        <w:t>C</w:t>
      </w:r>
      <w:r>
        <w:t xml:space="preserve">overage (UHC) provides an unprecedented opportunity to accelerate progress towards ending preventable deaths and improving the health and well-being of women, children and adolescents around the world. However, as the UNSG’s Independent Accountability Panel notes, </w:t>
      </w:r>
      <w:r w:rsidRPr="00562F11">
        <w:t>to achieve this goal, governments need to include essential health services for women, children and adolescents throughout the life course in their national UHC packages.</w:t>
      </w:r>
      <w:r>
        <w:rPr>
          <w:rStyle w:val="EndnoteReference"/>
        </w:rPr>
        <w:endnoteReference w:id="5"/>
      </w:r>
      <w:r w:rsidRPr="00562F11">
        <w:t> </w:t>
      </w:r>
      <w:r>
        <w:t xml:space="preserve">Additionally, </w:t>
      </w:r>
      <w:r w:rsidRPr="0066742D">
        <w:rPr>
          <w:rFonts w:cs="Cera PRO"/>
          <w:color w:val="000000"/>
        </w:rPr>
        <w:t>based on the Ebola experience, it is</w:t>
      </w:r>
      <w:r w:rsidR="0052748D">
        <w:rPr>
          <w:rFonts w:cs="Cera PRO"/>
          <w:color w:val="000000"/>
        </w:rPr>
        <w:t xml:space="preserve"> clear</w:t>
      </w:r>
      <w:r w:rsidRPr="0066742D">
        <w:rPr>
          <w:rFonts w:cs="Cera PRO"/>
          <w:color w:val="000000"/>
        </w:rPr>
        <w:t xml:space="preserve"> that maternal, </w:t>
      </w:r>
      <w:proofErr w:type="spellStart"/>
      <w:r w:rsidRPr="0066742D">
        <w:rPr>
          <w:rFonts w:cs="Cera PRO"/>
          <w:color w:val="000000"/>
        </w:rPr>
        <w:t>newborn</w:t>
      </w:r>
      <w:proofErr w:type="spellEnd"/>
      <w:r w:rsidRPr="0066742D">
        <w:rPr>
          <w:rFonts w:cs="Cera PRO"/>
          <w:color w:val="000000"/>
        </w:rPr>
        <w:t xml:space="preserve"> and child mortality trends will be further compounded b</w:t>
      </w:r>
      <w:r w:rsidR="0052748D">
        <w:rPr>
          <w:rFonts w:cs="Cera PRO"/>
          <w:color w:val="000000"/>
        </w:rPr>
        <w:t>y</w:t>
      </w:r>
      <w:r w:rsidRPr="0066742D">
        <w:rPr>
          <w:rFonts w:cs="Cera PRO"/>
          <w:color w:val="000000"/>
        </w:rPr>
        <w:t xml:space="preserve"> COVID-19’s impact on essential services</w:t>
      </w:r>
      <w:r>
        <w:rPr>
          <w:rFonts w:cs="Cera PRO"/>
          <w:color w:val="000000"/>
        </w:rPr>
        <w:t xml:space="preserve">. </w:t>
      </w:r>
    </w:p>
    <w:p w14:paraId="441C2DFD" w14:textId="77777777" w:rsidR="00103AD6" w:rsidRPr="0066742D" w:rsidRDefault="00103AD6" w:rsidP="00103AD6">
      <w:pPr>
        <w:contextualSpacing/>
        <w:jc w:val="both"/>
      </w:pPr>
    </w:p>
    <w:p w14:paraId="081D2957" w14:textId="76EC85EE" w:rsidR="00103AD6" w:rsidRPr="0066742D" w:rsidRDefault="00103AD6" w:rsidP="00103AD6">
      <w:pPr>
        <w:tabs>
          <w:tab w:val="left" w:pos="1448"/>
        </w:tabs>
        <w:contextualSpacing/>
        <w:jc w:val="both"/>
        <w:rPr>
          <w:rFonts w:eastAsia="Times New Roman"/>
          <w:b/>
          <w:bCs/>
        </w:rPr>
      </w:pPr>
      <w:r w:rsidRPr="0066742D">
        <w:rPr>
          <w:rFonts w:cs="Cera PRO"/>
          <w:color w:val="000000"/>
        </w:rPr>
        <w:t>Therefore, given the urgent need to ensure that there continues to be a sustained and equitable focus on MNCH</w:t>
      </w:r>
      <w:r>
        <w:rPr>
          <w:rFonts w:cs="Cera PRO"/>
          <w:color w:val="000000"/>
        </w:rPr>
        <w:t xml:space="preserve">, </w:t>
      </w:r>
      <w:r w:rsidRPr="0066742D">
        <w:rPr>
          <w:rFonts w:cs="Cera PRO"/>
          <w:color w:val="000000"/>
        </w:rPr>
        <w:t>including stillbirths</w:t>
      </w:r>
      <w:r>
        <w:rPr>
          <w:rFonts w:cs="Cera PRO"/>
          <w:color w:val="000000"/>
        </w:rPr>
        <w:t>,</w:t>
      </w:r>
      <w:r w:rsidRPr="0066742D">
        <w:rPr>
          <w:rFonts w:cs="Cera PRO"/>
          <w:color w:val="000000"/>
        </w:rPr>
        <w:t xml:space="preserve"> PMNCH will </w:t>
      </w:r>
      <w:r>
        <w:rPr>
          <w:rFonts w:cs="Cera PRO"/>
          <w:color w:val="000000"/>
        </w:rPr>
        <w:t>drive advocacy and attempt to forge</w:t>
      </w:r>
      <w:r w:rsidRPr="0066742D">
        <w:rPr>
          <w:rFonts w:cs="Cera PRO"/>
          <w:color w:val="000000"/>
        </w:rPr>
        <w:t xml:space="preserve"> consensus </w:t>
      </w:r>
      <w:r>
        <w:rPr>
          <w:rFonts w:cs="Cera PRO"/>
          <w:color w:val="000000"/>
        </w:rPr>
        <w:t xml:space="preserve">around the integration </w:t>
      </w:r>
      <w:r w:rsidRPr="0066742D">
        <w:rPr>
          <w:rFonts w:eastAsia="Times New Roman"/>
        </w:rPr>
        <w:t xml:space="preserve">of essential </w:t>
      </w:r>
      <w:r>
        <w:rPr>
          <w:rFonts w:eastAsia="Times New Roman"/>
        </w:rPr>
        <w:t>WCAH interventions in</w:t>
      </w:r>
      <w:r w:rsidRPr="0066742D">
        <w:rPr>
          <w:rFonts w:eastAsia="Times New Roman"/>
        </w:rPr>
        <w:t xml:space="preserve"> UHC </w:t>
      </w:r>
      <w:r>
        <w:rPr>
          <w:rFonts w:eastAsia="Times New Roman"/>
        </w:rPr>
        <w:t>benefits packages</w:t>
      </w:r>
      <w:r w:rsidRPr="0066742D">
        <w:rPr>
          <w:rFonts w:eastAsia="Times New Roman"/>
        </w:rPr>
        <w:t>.</w:t>
      </w:r>
      <w:r w:rsidRPr="0066742D">
        <w:rPr>
          <w:rFonts w:eastAsia="Times New Roman"/>
          <w:b/>
          <w:bCs/>
        </w:rPr>
        <w:t xml:space="preserve"> </w:t>
      </w:r>
      <w:r w:rsidRPr="0066742D">
        <w:rPr>
          <w:rFonts w:eastAsia="Times New Roman"/>
        </w:rPr>
        <w:t xml:space="preserve">This effort will be underpinned by the development of knowledge translation products around the essential interventions packages that will help </w:t>
      </w:r>
      <w:r>
        <w:rPr>
          <w:rFonts w:eastAsia="Times New Roman"/>
        </w:rPr>
        <w:t xml:space="preserve">support </w:t>
      </w:r>
      <w:r w:rsidRPr="0066742D">
        <w:rPr>
          <w:rFonts w:eastAsia="Times New Roman"/>
        </w:rPr>
        <w:t>our advocacy efforts</w:t>
      </w:r>
      <w:r w:rsidR="00896724">
        <w:rPr>
          <w:rFonts w:eastAsia="Times New Roman"/>
        </w:rPr>
        <w:t xml:space="preserve"> – </w:t>
      </w:r>
      <w:r w:rsidRPr="0066742D">
        <w:rPr>
          <w:rFonts w:eastAsia="Times New Roman"/>
        </w:rPr>
        <w:t>globally, nationally and locally.</w:t>
      </w:r>
      <w:r w:rsidRPr="0066742D">
        <w:rPr>
          <w:rFonts w:eastAsia="Times New Roman"/>
          <w:b/>
          <w:bCs/>
        </w:rPr>
        <w:t xml:space="preserve"> </w:t>
      </w:r>
    </w:p>
    <w:p w14:paraId="61C7ADB1" w14:textId="77777777" w:rsidR="00103AD6" w:rsidRPr="0066742D" w:rsidRDefault="00103AD6" w:rsidP="00140B98">
      <w:pPr>
        <w:contextualSpacing/>
        <w:jc w:val="both"/>
        <w:rPr>
          <w:rFonts w:eastAsia="Times New Roman"/>
          <w:b/>
          <w:bCs/>
        </w:rPr>
      </w:pPr>
    </w:p>
    <w:p w14:paraId="19896D6B" w14:textId="711EF29B" w:rsidR="00103AD6" w:rsidRDefault="00103AD6" w:rsidP="00140B98">
      <w:pPr>
        <w:tabs>
          <w:tab w:val="left" w:pos="567"/>
        </w:tabs>
        <w:jc w:val="both"/>
        <w:rPr>
          <w:rFonts w:cstheme="minorHAnsi"/>
        </w:rPr>
      </w:pPr>
      <w:r>
        <w:rPr>
          <w:rFonts w:cstheme="minorHAnsi"/>
        </w:rPr>
        <w:t xml:space="preserve">PMNCH will build on recent work on MNCH, including: strategy briefs on issues (e.g. ‘Women’s empowerment and gender Equality’); and evidence summaries and strategy briefs in support of regional meetings (e.g. briefs in support of the International Conference on Maternal, </w:t>
      </w:r>
      <w:proofErr w:type="spellStart"/>
      <w:r>
        <w:rPr>
          <w:rFonts w:cstheme="minorHAnsi"/>
        </w:rPr>
        <w:t>Newborn</w:t>
      </w:r>
      <w:proofErr w:type="spellEnd"/>
      <w:r>
        <w:rPr>
          <w:rFonts w:cstheme="minorHAnsi"/>
        </w:rPr>
        <w:t xml:space="preserve"> and Child Health in Johannesburg, and the Inter-Ministerial Conference in Post ICDP and MDGs in Beijing).</w:t>
      </w:r>
    </w:p>
    <w:p w14:paraId="235E18E5" w14:textId="77777777" w:rsidR="00A04D96" w:rsidRPr="0066742D" w:rsidRDefault="00A04D96" w:rsidP="00140B98">
      <w:pPr>
        <w:tabs>
          <w:tab w:val="left" w:pos="567"/>
        </w:tabs>
        <w:jc w:val="both"/>
        <w:rPr>
          <w:rFonts w:cstheme="minorHAnsi"/>
        </w:rPr>
      </w:pPr>
    </w:p>
    <w:p w14:paraId="5364F0F2" w14:textId="27C273EE" w:rsidR="00103AD6" w:rsidRPr="00A04D96" w:rsidRDefault="00103AD6" w:rsidP="00A04D96">
      <w:pPr>
        <w:tabs>
          <w:tab w:val="left" w:pos="567"/>
        </w:tabs>
        <w:rPr>
          <w:rFonts w:cstheme="minorHAnsi"/>
          <w:color w:val="2F5496" w:themeColor="accent1" w:themeShade="BF"/>
        </w:rPr>
      </w:pPr>
      <w:r w:rsidRPr="0066742D">
        <w:rPr>
          <w:rFonts w:cstheme="minorHAnsi"/>
        </w:rPr>
        <w:t xml:space="preserve">2. </w:t>
      </w:r>
      <w:r w:rsidRPr="0066742D">
        <w:rPr>
          <w:rFonts w:cstheme="minorHAnsi"/>
          <w:b/>
          <w:bCs/>
          <w:color w:val="2F5496" w:themeColor="accent1" w:themeShade="BF"/>
        </w:rPr>
        <w:t>Sexual and Reproductive Health and Rights (SRHR)</w:t>
      </w:r>
      <w:r w:rsidRPr="0066742D">
        <w:rPr>
          <w:rFonts w:cstheme="minorHAnsi"/>
          <w:color w:val="2F5496" w:themeColor="accent1" w:themeShade="BF"/>
        </w:rPr>
        <w:t xml:space="preserve">: </w:t>
      </w:r>
      <w:bookmarkStart w:id="3" w:name="_Hlk39605783"/>
      <w:r w:rsidR="00A04D96">
        <w:rPr>
          <w:rFonts w:cstheme="minorHAnsi"/>
          <w:color w:val="4472C4" w:themeColor="accent1"/>
        </w:rPr>
        <w:t>e</w:t>
      </w:r>
      <w:r w:rsidRPr="0066742D">
        <w:rPr>
          <w:rFonts w:cstheme="minorHAnsi"/>
          <w:color w:val="4472C4" w:themeColor="accent1"/>
        </w:rPr>
        <w:t xml:space="preserve">nhancing and aligning advocacy to uphold essential SRHR interventions and ensure continuous progress on </w:t>
      </w:r>
      <w:r w:rsidRPr="0066742D">
        <w:rPr>
          <w:iCs/>
          <w:color w:val="4472C4" w:themeColor="accent1"/>
        </w:rPr>
        <w:t>financing and equitable access to comprehensive SRHR packages</w:t>
      </w:r>
    </w:p>
    <w:bookmarkEnd w:id="3"/>
    <w:p w14:paraId="627C443C" w14:textId="77777777" w:rsidR="00103AD6" w:rsidRDefault="00103AD6" w:rsidP="00103AD6">
      <w:pPr>
        <w:contextualSpacing/>
        <w:jc w:val="both"/>
        <w:rPr>
          <w:iCs/>
          <w:color w:val="4472C4" w:themeColor="accent1"/>
        </w:rPr>
      </w:pPr>
    </w:p>
    <w:p w14:paraId="5E90BE9E" w14:textId="49EE5D04" w:rsidR="00103AD6" w:rsidRDefault="00103AD6" w:rsidP="00103AD6">
      <w:pPr>
        <w:contextualSpacing/>
        <w:jc w:val="both"/>
        <w:rPr>
          <w:rFonts w:cstheme="minorHAnsi"/>
          <w:color w:val="000000"/>
          <w:shd w:val="clear" w:color="auto" w:fill="FFFFFF"/>
        </w:rPr>
      </w:pPr>
      <w:r w:rsidRPr="0066742D">
        <w:rPr>
          <w:rFonts w:cstheme="minorHAnsi"/>
          <w:color w:val="000000"/>
          <w:shd w:val="clear" w:color="auto" w:fill="FFFFFF"/>
        </w:rPr>
        <w:t xml:space="preserve">The Guttmacher-Lancet Commission found in 2017 that meeting the unmet need for contraception for 214 million women in developing regions would avert an additional 67 million unintended pregnancies annually. </w:t>
      </w:r>
      <w:r w:rsidR="003A4C87">
        <w:rPr>
          <w:rFonts w:cstheme="minorHAnsi"/>
          <w:color w:val="000000"/>
          <w:shd w:val="clear" w:color="auto" w:fill="FFFFFF"/>
        </w:rPr>
        <w:t>It</w:t>
      </w:r>
      <w:r w:rsidRPr="0066742D">
        <w:rPr>
          <w:rFonts w:cstheme="minorHAnsi"/>
          <w:color w:val="000000"/>
          <w:shd w:val="clear" w:color="auto" w:fill="FFFFFF"/>
        </w:rPr>
        <w:t xml:space="preserve"> would result in an estimated 76,000 fewer maternal deaths each year</w:t>
      </w:r>
      <w:r w:rsidRPr="0066742D">
        <w:rPr>
          <w:rFonts w:cstheme="minorHAnsi"/>
          <w:color w:val="000000"/>
          <w:shd w:val="clear" w:color="auto" w:fill="FFFFFF"/>
          <w:vertAlign w:val="superscript"/>
        </w:rPr>
        <w:endnoteReference w:id="6"/>
      </w:r>
      <w:r w:rsidRPr="0066742D">
        <w:rPr>
          <w:rFonts w:cstheme="minorHAnsi"/>
          <w:color w:val="000000"/>
          <w:shd w:val="clear" w:color="auto" w:fill="FFFFFF"/>
        </w:rPr>
        <w:t xml:space="preserve">.  </w:t>
      </w:r>
      <w:r>
        <w:rPr>
          <w:rFonts w:cstheme="minorHAnsi"/>
          <w:color w:val="000000"/>
          <w:shd w:val="clear" w:color="auto" w:fill="FFFFFF"/>
        </w:rPr>
        <w:t>W</w:t>
      </w:r>
      <w:r w:rsidRPr="0066742D">
        <w:rPr>
          <w:rFonts w:cstheme="minorHAnsi"/>
          <w:color w:val="000000"/>
          <w:shd w:val="clear" w:color="auto" w:fill="FFFFFF"/>
        </w:rPr>
        <w:t>omen are</w:t>
      </w:r>
      <w:r>
        <w:rPr>
          <w:rFonts w:cstheme="minorHAnsi"/>
          <w:color w:val="000000"/>
          <w:shd w:val="clear" w:color="auto" w:fill="FFFFFF"/>
        </w:rPr>
        <w:t xml:space="preserve"> also</w:t>
      </w:r>
      <w:r w:rsidRPr="0066742D">
        <w:rPr>
          <w:rFonts w:cstheme="minorHAnsi"/>
          <w:color w:val="000000"/>
          <w:shd w:val="clear" w:color="auto" w:fill="FFFFFF"/>
        </w:rPr>
        <w:t xml:space="preserve"> more likely to have their demand for modern contraception met in countries where gender equality and their educational opportunities improve</w:t>
      </w:r>
      <w:r w:rsidRPr="0066742D">
        <w:rPr>
          <w:rFonts w:cstheme="minorHAnsi"/>
          <w:color w:val="000000"/>
          <w:shd w:val="clear" w:color="auto" w:fill="FFFFFF"/>
          <w:vertAlign w:val="superscript"/>
        </w:rPr>
        <w:endnoteReference w:id="7"/>
      </w:r>
      <w:r w:rsidRPr="0066742D">
        <w:rPr>
          <w:rFonts w:cstheme="minorHAnsi"/>
          <w:color w:val="000000"/>
          <w:shd w:val="clear" w:color="auto" w:fill="FFFFFF"/>
        </w:rPr>
        <w:t>.</w:t>
      </w:r>
      <w:r w:rsidR="003A4C87">
        <w:rPr>
          <w:rFonts w:cstheme="minorHAnsi"/>
          <w:color w:val="000000"/>
          <w:shd w:val="clear" w:color="auto" w:fill="FFFFFF"/>
        </w:rPr>
        <w:t xml:space="preserve"> </w:t>
      </w:r>
      <w:r w:rsidRPr="0066742D">
        <w:rPr>
          <w:rFonts w:cstheme="minorHAnsi"/>
          <w:color w:val="000000"/>
          <w:shd w:val="clear" w:color="auto" w:fill="FFFFFF"/>
        </w:rPr>
        <w:t xml:space="preserve">Although there are substantial benefits to investing in SRHR, and while many countries are including common elements of SRHR (primarily family planning, maternal, and </w:t>
      </w:r>
      <w:proofErr w:type="spellStart"/>
      <w:r w:rsidRPr="0066742D">
        <w:rPr>
          <w:rFonts w:cstheme="minorHAnsi"/>
          <w:color w:val="000000"/>
          <w:shd w:val="clear" w:color="auto" w:fill="FFFFFF"/>
        </w:rPr>
        <w:t>newborn</w:t>
      </w:r>
      <w:proofErr w:type="spellEnd"/>
      <w:r w:rsidRPr="0066742D">
        <w:rPr>
          <w:rFonts w:cstheme="minorHAnsi"/>
          <w:color w:val="000000"/>
          <w:shd w:val="clear" w:color="auto" w:fill="FFFFFF"/>
        </w:rPr>
        <w:t xml:space="preserve"> health) in their UHC package</w:t>
      </w:r>
      <w:r>
        <w:rPr>
          <w:rFonts w:cstheme="minorHAnsi"/>
          <w:color w:val="000000"/>
          <w:shd w:val="clear" w:color="auto" w:fill="FFFFFF"/>
        </w:rPr>
        <w:t>s and plans, inclusion of a comprehensive</w:t>
      </w:r>
      <w:r w:rsidRPr="0066742D">
        <w:rPr>
          <w:rFonts w:cstheme="minorHAnsi"/>
          <w:color w:val="000000"/>
          <w:shd w:val="clear" w:color="auto" w:fill="FFFFFF"/>
        </w:rPr>
        <w:t xml:space="preserve"> package of SRHR interventions is rare, and by no means guaranteed</w:t>
      </w:r>
      <w:r w:rsidR="003A4C87">
        <w:rPr>
          <w:rFonts w:cstheme="minorHAnsi"/>
          <w:color w:val="000000"/>
          <w:shd w:val="clear" w:color="auto" w:fill="FFFFFF"/>
        </w:rPr>
        <w:t>.</w:t>
      </w:r>
      <w:r w:rsidRPr="0066742D">
        <w:rPr>
          <w:rFonts w:cstheme="minorHAnsi"/>
          <w:color w:val="000000"/>
          <w:shd w:val="clear" w:color="auto" w:fill="FFFFFF"/>
        </w:rPr>
        <w:t xml:space="preserve"> </w:t>
      </w:r>
    </w:p>
    <w:p w14:paraId="71ED9867" w14:textId="77777777" w:rsidR="00103AD6" w:rsidRDefault="00103AD6" w:rsidP="00103AD6">
      <w:pPr>
        <w:contextualSpacing/>
        <w:jc w:val="both"/>
        <w:rPr>
          <w:rFonts w:cstheme="minorHAnsi"/>
          <w:color w:val="000000"/>
          <w:shd w:val="clear" w:color="auto" w:fill="FFFFFF"/>
        </w:rPr>
      </w:pPr>
    </w:p>
    <w:p w14:paraId="42FC9291" w14:textId="7AC3E435" w:rsidR="00103AD6" w:rsidRPr="0066742D" w:rsidRDefault="003A4C87" w:rsidP="00103AD6">
      <w:pPr>
        <w:contextualSpacing/>
        <w:jc w:val="both"/>
        <w:rPr>
          <w:rFonts w:cstheme="minorHAnsi"/>
          <w:color w:val="000000"/>
          <w:shd w:val="clear" w:color="auto" w:fill="FFFFFF"/>
        </w:rPr>
      </w:pPr>
      <w:r>
        <w:rPr>
          <w:rFonts w:cstheme="minorHAnsi"/>
          <w:color w:val="000000"/>
          <w:shd w:val="clear" w:color="auto" w:fill="FFFFFF"/>
        </w:rPr>
        <w:t>P</w:t>
      </w:r>
      <w:r w:rsidR="00103AD6" w:rsidRPr="00C73733">
        <w:rPr>
          <w:rFonts w:cstheme="minorHAnsi"/>
          <w:color w:val="000000"/>
          <w:shd w:val="clear" w:color="auto" w:fill="FFFFFF"/>
        </w:rPr>
        <w:t xml:space="preserve">revious public health emergencies have shown that the impact of an epidemic on </w:t>
      </w:r>
      <w:r w:rsidR="00103AD6">
        <w:rPr>
          <w:rFonts w:cstheme="minorHAnsi"/>
          <w:color w:val="000000"/>
          <w:shd w:val="clear" w:color="auto" w:fill="FFFFFF"/>
        </w:rPr>
        <w:t>SRH</w:t>
      </w:r>
      <w:r w:rsidR="00223A25">
        <w:rPr>
          <w:rFonts w:cstheme="minorHAnsi"/>
          <w:color w:val="000000"/>
          <w:shd w:val="clear" w:color="auto" w:fill="FFFFFF"/>
        </w:rPr>
        <w:t>R</w:t>
      </w:r>
      <w:r w:rsidR="00103AD6" w:rsidRPr="00C73733">
        <w:rPr>
          <w:rFonts w:cstheme="minorHAnsi"/>
          <w:color w:val="000000"/>
          <w:shd w:val="clear" w:color="auto" w:fill="FFFFFF"/>
        </w:rPr>
        <w:t xml:space="preserve"> often goes unrecognized, because </w:t>
      </w:r>
      <w:r w:rsidR="00103AD6">
        <w:rPr>
          <w:rFonts w:cstheme="minorHAnsi"/>
          <w:color w:val="000000"/>
          <w:shd w:val="clear" w:color="auto" w:fill="FFFFFF"/>
        </w:rPr>
        <w:t xml:space="preserve">of the </w:t>
      </w:r>
      <w:r w:rsidR="00103AD6" w:rsidRPr="00C73733">
        <w:rPr>
          <w:rFonts w:cstheme="minorHAnsi"/>
          <w:color w:val="000000"/>
          <w:shd w:val="clear" w:color="auto" w:fill="FFFFFF"/>
        </w:rPr>
        <w:t>indirect consequences of strained health care systems, disruptions in care and redirected resources.</w:t>
      </w:r>
      <w:r w:rsidR="00103AD6">
        <w:rPr>
          <w:rStyle w:val="EndnoteReference"/>
          <w:rFonts w:cstheme="minorHAnsi"/>
          <w:color w:val="000000"/>
          <w:shd w:val="clear" w:color="auto" w:fill="FFFFFF"/>
        </w:rPr>
        <w:endnoteReference w:id="8"/>
      </w:r>
      <w:r w:rsidR="00103AD6">
        <w:rPr>
          <w:rFonts w:cstheme="minorHAnsi"/>
          <w:color w:val="000000"/>
          <w:shd w:val="clear" w:color="auto" w:fill="FFFFFF"/>
        </w:rPr>
        <w:t xml:space="preserve"> </w:t>
      </w:r>
      <w:r w:rsidR="0052748D">
        <w:rPr>
          <w:rFonts w:cstheme="minorHAnsi"/>
          <w:color w:val="000000"/>
          <w:shd w:val="clear" w:color="auto" w:fill="FFFFFF"/>
        </w:rPr>
        <w:t>As a result of</w:t>
      </w:r>
      <w:r w:rsidR="00103AD6">
        <w:rPr>
          <w:rFonts w:cstheme="minorHAnsi"/>
          <w:color w:val="000000"/>
          <w:shd w:val="clear" w:color="auto" w:fill="FFFFFF"/>
        </w:rPr>
        <w:t xml:space="preserve"> COVID-19, some partners are estimating a decline of 80% in SRHR services</w:t>
      </w:r>
      <w:r w:rsidR="00103AD6">
        <w:rPr>
          <w:rStyle w:val="EndnoteReference"/>
          <w:rFonts w:cstheme="minorHAnsi"/>
          <w:color w:val="000000"/>
          <w:shd w:val="clear" w:color="auto" w:fill="FFFFFF"/>
        </w:rPr>
        <w:endnoteReference w:id="9"/>
      </w:r>
      <w:r w:rsidR="00103AD6">
        <w:rPr>
          <w:rFonts w:cstheme="minorHAnsi"/>
          <w:color w:val="000000"/>
          <w:shd w:val="clear" w:color="auto" w:fill="FFFFFF"/>
        </w:rPr>
        <w:t xml:space="preserve">. </w:t>
      </w:r>
      <w:r w:rsidR="00896724">
        <w:rPr>
          <w:rFonts w:cstheme="minorHAnsi"/>
          <w:color w:val="000000"/>
          <w:shd w:val="clear" w:color="auto" w:fill="FFFFFF"/>
        </w:rPr>
        <w:t xml:space="preserve">The </w:t>
      </w:r>
      <w:r w:rsidR="00103AD6">
        <w:rPr>
          <w:rFonts w:cstheme="minorHAnsi"/>
        </w:rPr>
        <w:t xml:space="preserve">Guttmacher </w:t>
      </w:r>
      <w:r w:rsidR="00896724">
        <w:rPr>
          <w:rFonts w:cstheme="minorHAnsi"/>
        </w:rPr>
        <w:t xml:space="preserve">Institute </w:t>
      </w:r>
      <w:r w:rsidR="00103AD6">
        <w:rPr>
          <w:rFonts w:cstheme="minorHAnsi"/>
        </w:rPr>
        <w:t>e</w:t>
      </w:r>
      <w:r w:rsidR="00103AD6" w:rsidRPr="00C73733">
        <w:rPr>
          <w:rFonts w:cstheme="minorHAnsi"/>
        </w:rPr>
        <w:t>stimate</w:t>
      </w:r>
      <w:r w:rsidR="00103AD6">
        <w:rPr>
          <w:rFonts w:cstheme="minorHAnsi"/>
        </w:rPr>
        <w:t>s</w:t>
      </w:r>
      <w:r w:rsidR="00103AD6" w:rsidRPr="00C73733">
        <w:rPr>
          <w:rFonts w:cstheme="minorHAnsi"/>
        </w:rPr>
        <w:t xml:space="preserve"> that</w:t>
      </w:r>
      <w:r w:rsidR="00103AD6">
        <w:rPr>
          <w:rFonts w:cstheme="minorHAnsi"/>
        </w:rPr>
        <w:t xml:space="preserve"> even</w:t>
      </w:r>
      <w:r w:rsidR="00103AD6" w:rsidRPr="00C73733">
        <w:rPr>
          <w:rFonts w:cstheme="minorHAnsi"/>
        </w:rPr>
        <w:t xml:space="preserve"> a 10% decline in use of short- and long-acting reversible contraceptive methods would result in an additional 49 million women with an unmet need for modern contraceptives and an additional 15 million unintended pregnancies over </w:t>
      </w:r>
      <w:r w:rsidR="0052748D">
        <w:rPr>
          <w:rFonts w:cstheme="minorHAnsi"/>
        </w:rPr>
        <w:t>just one</w:t>
      </w:r>
      <w:r w:rsidR="00103AD6" w:rsidRPr="00C73733">
        <w:rPr>
          <w:rFonts w:cstheme="minorHAnsi"/>
        </w:rPr>
        <w:t xml:space="preserve"> year</w:t>
      </w:r>
      <w:r w:rsidR="00103AD6">
        <w:rPr>
          <w:rStyle w:val="EndnoteReference"/>
          <w:rFonts w:cstheme="minorHAnsi"/>
        </w:rPr>
        <w:endnoteReference w:id="10"/>
      </w:r>
      <w:r w:rsidR="0052748D">
        <w:rPr>
          <w:rFonts w:cstheme="minorHAnsi"/>
        </w:rPr>
        <w:t>.</w:t>
      </w:r>
    </w:p>
    <w:p w14:paraId="6E8F94EC" w14:textId="77777777" w:rsidR="00103AD6" w:rsidRPr="0066742D" w:rsidRDefault="00103AD6" w:rsidP="00103AD6">
      <w:pPr>
        <w:contextualSpacing/>
        <w:jc w:val="both"/>
        <w:rPr>
          <w:rFonts w:cstheme="minorHAnsi"/>
          <w:color w:val="000000"/>
          <w:shd w:val="clear" w:color="auto" w:fill="FFFFFF"/>
        </w:rPr>
      </w:pPr>
    </w:p>
    <w:p w14:paraId="1551102E" w14:textId="3469A8F5" w:rsidR="00103AD6" w:rsidRPr="0066742D" w:rsidRDefault="00103AD6" w:rsidP="00103AD6">
      <w:pPr>
        <w:contextualSpacing/>
        <w:jc w:val="both"/>
        <w:rPr>
          <w:rFonts w:cstheme="minorHAnsi"/>
        </w:rPr>
      </w:pPr>
      <w:r w:rsidRPr="0066742D">
        <w:rPr>
          <w:rFonts w:cstheme="minorHAnsi"/>
        </w:rPr>
        <w:t xml:space="preserve">Under Objective 2 (SRHR), PMNCH will align and organise its partners around evidence-based advocacy and communication campaigns, </w:t>
      </w:r>
      <w:r>
        <w:rPr>
          <w:rFonts w:cstheme="minorHAnsi"/>
        </w:rPr>
        <w:t>championed by political leaders and</w:t>
      </w:r>
      <w:r w:rsidRPr="0066742D">
        <w:rPr>
          <w:rFonts w:cstheme="minorHAnsi"/>
        </w:rPr>
        <w:t xml:space="preserve"> thought </w:t>
      </w:r>
      <w:r>
        <w:rPr>
          <w:rFonts w:cstheme="minorHAnsi"/>
        </w:rPr>
        <w:t xml:space="preserve">leaders to amplify the need for uninterrupted </w:t>
      </w:r>
      <w:r w:rsidRPr="0066742D">
        <w:rPr>
          <w:rFonts w:cstheme="minorHAnsi"/>
        </w:rPr>
        <w:t xml:space="preserve">access to </w:t>
      </w:r>
      <w:r>
        <w:rPr>
          <w:rFonts w:cstheme="minorHAnsi"/>
        </w:rPr>
        <w:t xml:space="preserve">comprehensive SRHR services, sustained financing for SRHR, </w:t>
      </w:r>
      <w:r w:rsidR="0052748D">
        <w:rPr>
          <w:rFonts w:cstheme="minorHAnsi"/>
        </w:rPr>
        <w:t xml:space="preserve">and </w:t>
      </w:r>
      <w:r w:rsidRPr="0066742D">
        <w:rPr>
          <w:rFonts w:cstheme="minorHAnsi"/>
        </w:rPr>
        <w:t xml:space="preserve">an enabling environment for women and girls to be their own agents of change. </w:t>
      </w:r>
    </w:p>
    <w:p w14:paraId="61E684A8" w14:textId="77777777" w:rsidR="00103AD6" w:rsidRPr="0066742D" w:rsidRDefault="00103AD6" w:rsidP="00103AD6">
      <w:pPr>
        <w:contextualSpacing/>
        <w:jc w:val="both"/>
        <w:rPr>
          <w:rFonts w:cstheme="minorHAnsi"/>
        </w:rPr>
      </w:pPr>
    </w:p>
    <w:p w14:paraId="637C19F7" w14:textId="05FE2071" w:rsidR="00103AD6" w:rsidRPr="0066742D" w:rsidRDefault="00103AD6" w:rsidP="00103AD6">
      <w:pPr>
        <w:contextualSpacing/>
        <w:jc w:val="both"/>
        <w:rPr>
          <w:rFonts w:cstheme="minorHAnsi"/>
        </w:rPr>
      </w:pPr>
      <w:r>
        <w:rPr>
          <w:rFonts w:cstheme="minorHAnsi"/>
        </w:rPr>
        <w:t>PMNCH will build its advocacy on r</w:t>
      </w:r>
      <w:r w:rsidRPr="0066742D">
        <w:rPr>
          <w:rFonts w:cstheme="minorHAnsi"/>
        </w:rPr>
        <w:t>ecent wor</w:t>
      </w:r>
      <w:r>
        <w:rPr>
          <w:rFonts w:cstheme="minorHAnsi"/>
        </w:rPr>
        <w:t>k on SRHR including</w:t>
      </w:r>
      <w:r w:rsidRPr="0066742D">
        <w:rPr>
          <w:rFonts w:cstheme="minorHAnsi"/>
        </w:rPr>
        <w:t>: analytical / campaign work on SRHR financing (‘Funding for Sexual &amp; Reproductive Health and Rights in low- and middle-income countries: threats, outlook and opportunities’); and case study research on SRHR within UHC (‘New case studies: prioritizing essential packages of health services in six sub-Saharan countries’).</w:t>
      </w:r>
    </w:p>
    <w:p w14:paraId="45E9D197" w14:textId="77777777" w:rsidR="00103AD6" w:rsidRPr="0066742D" w:rsidRDefault="00103AD6" w:rsidP="00103AD6">
      <w:pPr>
        <w:tabs>
          <w:tab w:val="left" w:pos="567"/>
        </w:tabs>
        <w:jc w:val="both"/>
        <w:rPr>
          <w:rFonts w:cstheme="minorHAnsi"/>
          <w:b/>
          <w:bCs/>
          <w:color w:val="2F5496" w:themeColor="accent1" w:themeShade="BF"/>
        </w:rPr>
      </w:pPr>
    </w:p>
    <w:p w14:paraId="03B76FA1" w14:textId="544CF3B7" w:rsidR="00103AD6" w:rsidRPr="00A04D96" w:rsidRDefault="00103AD6" w:rsidP="00A04D96">
      <w:pPr>
        <w:numPr>
          <w:ilvl w:val="0"/>
          <w:numId w:val="33"/>
        </w:numPr>
        <w:tabs>
          <w:tab w:val="left" w:pos="567"/>
        </w:tabs>
        <w:ind w:left="426"/>
        <w:contextualSpacing/>
        <w:jc w:val="both"/>
        <w:rPr>
          <w:rFonts w:cstheme="minorHAnsi"/>
          <w:color w:val="2F5496" w:themeColor="accent1" w:themeShade="BF"/>
        </w:rPr>
      </w:pPr>
      <w:r w:rsidRPr="0066742D">
        <w:rPr>
          <w:rFonts w:cstheme="minorHAnsi"/>
          <w:b/>
          <w:bCs/>
          <w:color w:val="2F5496" w:themeColor="accent1" w:themeShade="BF"/>
        </w:rPr>
        <w:t>Adolescent’s health and wellbeing</w:t>
      </w:r>
      <w:r w:rsidRPr="0066742D">
        <w:rPr>
          <w:rFonts w:cstheme="minorHAnsi"/>
          <w:color w:val="2F5496" w:themeColor="accent1" w:themeShade="BF"/>
        </w:rPr>
        <w:t xml:space="preserve">: </w:t>
      </w:r>
      <w:r w:rsidR="00A04D96" w:rsidRPr="00E03271">
        <w:rPr>
          <w:rFonts w:cstheme="minorHAnsi"/>
          <w:color w:val="4472C4" w:themeColor="accent1"/>
        </w:rPr>
        <w:t>a</w:t>
      </w:r>
      <w:r w:rsidRPr="00E03271">
        <w:rPr>
          <w:rFonts w:cstheme="minorHAnsi"/>
          <w:color w:val="4472C4" w:themeColor="accent1"/>
        </w:rPr>
        <w:t xml:space="preserve">dvancing the health and well-being of adolescents </w:t>
      </w:r>
      <w:r w:rsidRPr="00E03271">
        <w:rPr>
          <w:color w:val="4472C4" w:themeColor="accent1"/>
        </w:rPr>
        <w:t>by engaging, aligning and capacitating partners around the Adolescent Health and Well-Being Framework and related policy and action</w:t>
      </w:r>
    </w:p>
    <w:p w14:paraId="2F423820" w14:textId="77777777" w:rsidR="00103AD6" w:rsidRDefault="00103AD6" w:rsidP="00103AD6">
      <w:pPr>
        <w:jc w:val="center"/>
        <w:rPr>
          <w:i/>
          <w:iCs/>
          <w:color w:val="4472C4" w:themeColor="accent1"/>
        </w:rPr>
      </w:pPr>
    </w:p>
    <w:p w14:paraId="1A6FE5CA" w14:textId="77777777" w:rsidR="00103AD6" w:rsidRPr="0066742D" w:rsidRDefault="00103AD6" w:rsidP="00103AD6">
      <w:pPr>
        <w:contextualSpacing/>
        <w:jc w:val="both"/>
        <w:rPr>
          <w:rFonts w:cstheme="minorHAnsi"/>
        </w:rPr>
      </w:pPr>
      <w:r w:rsidRPr="0066742D">
        <w:rPr>
          <w:rFonts w:cs="Cera PRO"/>
          <w:color w:val="000000"/>
        </w:rPr>
        <w:t>Adolescent death rates globally are not declining as fast as deaths among children aged between one month and four years, partly because of the rise in AIDS-related adolescent deaths. As more children survive their early years and progress to adolescence, it is essential to understand and address conditions that threaten their ability to lead a healthy life. Among adolescents and young adults, mental health and substance use issues, such as anxiety, depression, and alcohol and drug abuse, are the leading causes of ‘Years Living with Disability’. Depressive disorders are the leading non-fatal health issues in female adolescents aged 15-19 years (2016), and suicide is a key public health concern among all adolescents. Furthermore, a thriving adolescent population fuels economic growth by contributing to increased productivity, reduced health expenditure, and ensuring reducing inequities across generations. For every dollar invested in selected adolescent health interventions, there is an estimated ten-fold health, social and economic return</w:t>
      </w:r>
      <w:r w:rsidRPr="0066742D">
        <w:rPr>
          <w:rFonts w:cs="Cera PRO"/>
          <w:color w:val="000000"/>
          <w:vertAlign w:val="superscript"/>
        </w:rPr>
        <w:endnoteReference w:id="11"/>
      </w:r>
    </w:p>
    <w:p w14:paraId="51CF38C5" w14:textId="77777777" w:rsidR="00103AD6" w:rsidRPr="0066742D" w:rsidRDefault="00103AD6" w:rsidP="00103AD6">
      <w:pPr>
        <w:contextualSpacing/>
        <w:jc w:val="both"/>
        <w:rPr>
          <w:rFonts w:cstheme="minorHAnsi"/>
        </w:rPr>
      </w:pPr>
    </w:p>
    <w:p w14:paraId="15C1B4DC" w14:textId="4816C442" w:rsidR="00103AD6" w:rsidRPr="0066742D" w:rsidRDefault="00103AD6" w:rsidP="00103AD6">
      <w:pPr>
        <w:contextualSpacing/>
        <w:jc w:val="both"/>
        <w:rPr>
          <w:rFonts w:cstheme="minorHAnsi"/>
        </w:rPr>
      </w:pPr>
      <w:r w:rsidRPr="0066742D">
        <w:rPr>
          <w:rFonts w:cstheme="minorHAnsi"/>
        </w:rPr>
        <w:t>Under Objective 3 (Adolescents), PMNCH will seek to maximize the triple dividend of adolescent health &amp; well-being</w:t>
      </w:r>
      <w:r w:rsidR="00C02240">
        <w:rPr>
          <w:rFonts w:cstheme="minorHAnsi"/>
        </w:rPr>
        <w:t xml:space="preserve"> – </w:t>
      </w:r>
      <w:r w:rsidR="00C02240">
        <w:t>improving health and well-being now; enhancing it throughout the life-course; contributing to the health and well-being of future generations</w:t>
      </w:r>
      <w:r w:rsidR="00C02240">
        <w:rPr>
          <w:rFonts w:cstheme="minorHAnsi"/>
        </w:rPr>
        <w:t xml:space="preserve"> – </w:t>
      </w:r>
      <w:r>
        <w:rPr>
          <w:rFonts w:cstheme="minorHAnsi"/>
        </w:rPr>
        <w:t>by developing and implementing the</w:t>
      </w:r>
      <w:r w:rsidRPr="0066742D">
        <w:rPr>
          <w:rFonts w:cstheme="minorHAnsi"/>
        </w:rPr>
        <w:t xml:space="preserve"> </w:t>
      </w:r>
      <w:r w:rsidRPr="0066742D">
        <w:rPr>
          <w:rFonts w:eastAsia="Times New Roman"/>
        </w:rPr>
        <w:t>Adolescent Health and Well-Being Framework</w:t>
      </w:r>
      <w:r>
        <w:rPr>
          <w:rFonts w:eastAsia="Times New Roman"/>
        </w:rPr>
        <w:t>. Partners, specifically A</w:t>
      </w:r>
      <w:r w:rsidR="003A4C87">
        <w:rPr>
          <w:rFonts w:eastAsia="Times New Roman"/>
        </w:rPr>
        <w:t>dolescent and Youth</w:t>
      </w:r>
      <w:r>
        <w:rPr>
          <w:rFonts w:eastAsia="Times New Roman"/>
        </w:rPr>
        <w:t xml:space="preserve"> partner coalitions at country level</w:t>
      </w:r>
      <w:r w:rsidR="00896724">
        <w:rPr>
          <w:rFonts w:eastAsia="Times New Roman"/>
        </w:rPr>
        <w:t>,</w:t>
      </w:r>
      <w:r>
        <w:rPr>
          <w:rFonts w:eastAsia="Times New Roman"/>
        </w:rPr>
        <w:t xml:space="preserve"> will also be capacitated </w:t>
      </w:r>
      <w:r w:rsidRPr="0066742D">
        <w:rPr>
          <w:rFonts w:cstheme="minorHAnsi"/>
        </w:rPr>
        <w:t>(e.g. through small grants and digital toolkits of resources) to implement the Framework and other related policies and actions</w:t>
      </w:r>
      <w:r>
        <w:rPr>
          <w:rFonts w:cstheme="minorHAnsi"/>
        </w:rPr>
        <w:t xml:space="preserve"> to advance the health and well-being of adolescents</w:t>
      </w:r>
      <w:r w:rsidRPr="0066742D">
        <w:rPr>
          <w:rFonts w:cstheme="minorHAnsi"/>
        </w:rPr>
        <w:t>.</w:t>
      </w:r>
    </w:p>
    <w:p w14:paraId="434426DA" w14:textId="77777777" w:rsidR="00103AD6" w:rsidRDefault="00103AD6" w:rsidP="00103AD6">
      <w:pPr>
        <w:contextualSpacing/>
        <w:jc w:val="both"/>
        <w:rPr>
          <w:rFonts w:cstheme="minorHAnsi"/>
        </w:rPr>
      </w:pPr>
    </w:p>
    <w:p w14:paraId="27DDECA5" w14:textId="19E2E2B3" w:rsidR="003D2FA1" w:rsidRDefault="00103AD6" w:rsidP="003D2FA1">
      <w:pPr>
        <w:contextualSpacing/>
        <w:jc w:val="both"/>
        <w:rPr>
          <w:rFonts w:cstheme="minorHAnsi"/>
          <w:b/>
          <w:bCs/>
          <w:color w:val="2F5496" w:themeColor="accent1" w:themeShade="BF"/>
        </w:rPr>
      </w:pPr>
      <w:r w:rsidRPr="0066742D">
        <w:rPr>
          <w:rFonts w:cstheme="minorHAnsi"/>
        </w:rPr>
        <w:t xml:space="preserve">PMNCH </w:t>
      </w:r>
      <w:r>
        <w:rPr>
          <w:rFonts w:cstheme="minorHAnsi"/>
        </w:rPr>
        <w:t xml:space="preserve">will build on recent </w:t>
      </w:r>
      <w:r w:rsidRPr="0066742D">
        <w:rPr>
          <w:rFonts w:cstheme="minorHAnsi"/>
        </w:rPr>
        <w:t>work on Adolescents</w:t>
      </w:r>
      <w:r>
        <w:rPr>
          <w:rFonts w:cstheme="minorHAnsi"/>
        </w:rPr>
        <w:t>,</w:t>
      </w:r>
      <w:r w:rsidRPr="0066742D">
        <w:rPr>
          <w:rFonts w:cstheme="minorHAnsi"/>
        </w:rPr>
        <w:t xml:space="preserve"> includ</w:t>
      </w:r>
      <w:r>
        <w:rPr>
          <w:rFonts w:cstheme="minorHAnsi"/>
        </w:rPr>
        <w:t>ing</w:t>
      </w:r>
      <w:r w:rsidRPr="0066742D">
        <w:rPr>
          <w:rFonts w:cstheme="minorHAnsi"/>
        </w:rPr>
        <w:t>: knowledge synthesis on adolescent mental health (‘Adolescent Mental Health: Time for Action’); and campaign resources for PMNCH partners (‘Rolling out the advocating for change for adolescents toolkit’).</w:t>
      </w:r>
    </w:p>
    <w:p w14:paraId="3FB3D027" w14:textId="77777777" w:rsidR="003D2FA1" w:rsidRDefault="003D2FA1" w:rsidP="003D2FA1">
      <w:pPr>
        <w:contextualSpacing/>
        <w:jc w:val="both"/>
        <w:rPr>
          <w:rFonts w:cstheme="minorHAnsi"/>
          <w:b/>
          <w:bCs/>
          <w:color w:val="2F5496" w:themeColor="accent1" w:themeShade="BF"/>
        </w:rPr>
      </w:pPr>
    </w:p>
    <w:p w14:paraId="2D2FEAD2" w14:textId="77777777" w:rsidR="003D2FA1" w:rsidRDefault="003D2FA1" w:rsidP="003D2FA1">
      <w:pPr>
        <w:contextualSpacing/>
        <w:jc w:val="both"/>
        <w:rPr>
          <w:rFonts w:cstheme="minorHAnsi"/>
          <w:b/>
          <w:bCs/>
          <w:color w:val="2F5496" w:themeColor="accent1" w:themeShade="BF"/>
        </w:rPr>
      </w:pPr>
    </w:p>
    <w:p w14:paraId="4D391139" w14:textId="704549DF" w:rsidR="00E61D88" w:rsidRPr="00A95BB4" w:rsidRDefault="00DE7D30" w:rsidP="003D2FA1">
      <w:pPr>
        <w:contextualSpacing/>
        <w:jc w:val="both"/>
        <w:rPr>
          <w:rFonts w:cstheme="minorHAnsi"/>
          <w:b/>
          <w:bCs/>
          <w:color w:val="2F5496" w:themeColor="accent1" w:themeShade="BF"/>
        </w:rPr>
      </w:pPr>
      <w:r w:rsidRPr="00A95BB4">
        <w:rPr>
          <w:rFonts w:cstheme="minorHAnsi"/>
          <w:b/>
          <w:bCs/>
          <w:color w:val="2F5496" w:themeColor="accent1" w:themeShade="BF"/>
        </w:rPr>
        <w:t>6.</w:t>
      </w:r>
      <w:r w:rsidRPr="00A95BB4">
        <w:rPr>
          <w:rFonts w:cstheme="minorHAnsi"/>
          <w:b/>
          <w:bCs/>
          <w:color w:val="2F5496" w:themeColor="accent1" w:themeShade="BF"/>
        </w:rPr>
        <w:tab/>
      </w:r>
      <w:r w:rsidR="00080517" w:rsidRPr="00A95BB4">
        <w:rPr>
          <w:rFonts w:cstheme="minorHAnsi"/>
          <w:b/>
          <w:bCs/>
          <w:color w:val="2F5496" w:themeColor="accent1" w:themeShade="BF"/>
        </w:rPr>
        <w:t>FUNCTIONS</w:t>
      </w:r>
      <w:r w:rsidR="009000C9" w:rsidRPr="00A95BB4">
        <w:rPr>
          <w:rFonts w:cstheme="minorHAnsi"/>
          <w:b/>
          <w:bCs/>
          <w:color w:val="2F5496" w:themeColor="accent1" w:themeShade="BF"/>
        </w:rPr>
        <w:t xml:space="preserve"> &amp; PARTNER ENGAGEMENT</w:t>
      </w:r>
    </w:p>
    <w:p w14:paraId="2E641E55" w14:textId="77777777" w:rsidR="003B59C3" w:rsidRPr="00A95BB4" w:rsidRDefault="003B59C3" w:rsidP="003B59C3">
      <w:pPr>
        <w:pStyle w:val="ListParagraph"/>
        <w:ind w:left="426"/>
        <w:jc w:val="both"/>
        <w:rPr>
          <w:rFonts w:cstheme="minorHAnsi"/>
        </w:rPr>
      </w:pPr>
    </w:p>
    <w:p w14:paraId="3E9F0EFE" w14:textId="01BD092E" w:rsidR="001F5FAB" w:rsidRPr="00A95BB4" w:rsidRDefault="001F5FAB" w:rsidP="00B355D4">
      <w:pPr>
        <w:jc w:val="both"/>
        <w:rPr>
          <w:rFonts w:cstheme="minorHAnsi"/>
          <w:b/>
          <w:bCs/>
          <w:color w:val="2F5496" w:themeColor="accent1" w:themeShade="BF"/>
        </w:rPr>
      </w:pPr>
      <w:r w:rsidRPr="00A95BB4">
        <w:rPr>
          <w:rFonts w:cstheme="minorHAnsi"/>
          <w:b/>
          <w:bCs/>
          <w:color w:val="2F5496" w:themeColor="accent1" w:themeShade="BF"/>
        </w:rPr>
        <w:t>Functions</w:t>
      </w:r>
    </w:p>
    <w:p w14:paraId="1322C5A1" w14:textId="77777777" w:rsidR="001F5FAB" w:rsidRPr="00A95BB4" w:rsidRDefault="001F5FAB" w:rsidP="00B355D4">
      <w:pPr>
        <w:jc w:val="both"/>
        <w:rPr>
          <w:rFonts w:cstheme="minorHAnsi"/>
        </w:rPr>
      </w:pPr>
    </w:p>
    <w:p w14:paraId="593A003D" w14:textId="577B5DA6" w:rsidR="001A251B" w:rsidRPr="00A95BB4" w:rsidRDefault="003D2FA1" w:rsidP="00B355D4">
      <w:pPr>
        <w:jc w:val="both"/>
        <w:rPr>
          <w:rFonts w:cstheme="minorHAnsi"/>
        </w:rPr>
      </w:pPr>
      <w:r>
        <w:rPr>
          <w:rFonts w:cstheme="minorHAnsi"/>
        </w:rPr>
        <w:t>PMNCH</w:t>
      </w:r>
      <w:r w:rsidRPr="00A95BB4">
        <w:rPr>
          <w:rFonts w:cstheme="minorHAnsi"/>
        </w:rPr>
        <w:t xml:space="preserve"> </w:t>
      </w:r>
      <w:r w:rsidR="00D5447A" w:rsidRPr="00A95BB4">
        <w:rPr>
          <w:rFonts w:cstheme="minorHAnsi"/>
        </w:rPr>
        <w:t xml:space="preserve">will focus on </w:t>
      </w:r>
      <w:r>
        <w:rPr>
          <w:rFonts w:cstheme="minorHAnsi"/>
        </w:rPr>
        <w:t>enabling</w:t>
      </w:r>
      <w:r w:rsidRPr="00A95BB4">
        <w:rPr>
          <w:rFonts w:cstheme="minorHAnsi"/>
        </w:rPr>
        <w:t xml:space="preserve"> </w:t>
      </w:r>
      <w:r w:rsidR="00D5447A" w:rsidRPr="00A95BB4">
        <w:rPr>
          <w:rFonts w:cstheme="minorHAnsi"/>
        </w:rPr>
        <w:t xml:space="preserve">partners to do more together than alone </w:t>
      </w:r>
      <w:r w:rsidR="00947148">
        <w:rPr>
          <w:rFonts w:cstheme="minorHAnsi"/>
        </w:rPr>
        <w:t>and</w:t>
      </w:r>
      <w:r w:rsidRPr="00A95BB4">
        <w:rPr>
          <w:rFonts w:cstheme="minorHAnsi"/>
        </w:rPr>
        <w:t xml:space="preserve"> </w:t>
      </w:r>
      <w:r w:rsidR="00D5447A" w:rsidRPr="00A95BB4">
        <w:rPr>
          <w:rFonts w:cstheme="minorHAnsi"/>
        </w:rPr>
        <w:t xml:space="preserve">will </w:t>
      </w:r>
      <w:r w:rsidR="008A041C" w:rsidRPr="00A95BB4">
        <w:rPr>
          <w:rFonts w:cstheme="minorHAnsi"/>
        </w:rPr>
        <w:t>leverage</w:t>
      </w:r>
      <w:r w:rsidR="00D5447A" w:rsidRPr="00A95BB4">
        <w:rPr>
          <w:rFonts w:cstheme="minorHAnsi"/>
        </w:rPr>
        <w:t xml:space="preserve"> the power of partnerships. </w:t>
      </w:r>
      <w:r w:rsidR="00E81812" w:rsidRPr="00A95BB4">
        <w:rPr>
          <w:rFonts w:cstheme="minorHAnsi"/>
        </w:rPr>
        <w:t xml:space="preserve"> </w:t>
      </w:r>
      <w:r w:rsidR="00947148">
        <w:rPr>
          <w:rFonts w:cstheme="minorHAnsi"/>
        </w:rPr>
        <w:t>PMNCH</w:t>
      </w:r>
      <w:r w:rsidR="00947148" w:rsidRPr="00A95BB4">
        <w:rPr>
          <w:rFonts w:cstheme="minorHAnsi"/>
        </w:rPr>
        <w:t xml:space="preserve"> </w:t>
      </w:r>
      <w:r w:rsidR="001A251B" w:rsidRPr="00A95BB4">
        <w:rPr>
          <w:rFonts w:cstheme="minorHAnsi"/>
        </w:rPr>
        <w:t>will</w:t>
      </w:r>
      <w:r w:rsidR="00FB488B" w:rsidRPr="00A95BB4">
        <w:rPr>
          <w:rFonts w:cstheme="minorHAnsi"/>
        </w:rPr>
        <w:t xml:space="preserve"> </w:t>
      </w:r>
      <w:r w:rsidR="001A251B" w:rsidRPr="00A95BB4">
        <w:rPr>
          <w:rFonts w:cstheme="minorHAnsi"/>
        </w:rPr>
        <w:t>position</w:t>
      </w:r>
      <w:r w:rsidR="001A251B" w:rsidRPr="00A95BB4">
        <w:rPr>
          <w:rFonts w:cstheme="minorHAnsi"/>
          <w:bCs/>
        </w:rPr>
        <w:t xml:space="preserve"> Advocacy</w:t>
      </w:r>
      <w:r w:rsidR="001A251B" w:rsidRPr="00A95BB4">
        <w:rPr>
          <w:rFonts w:cstheme="minorHAnsi"/>
        </w:rPr>
        <w:t xml:space="preserve"> as </w:t>
      </w:r>
      <w:r w:rsidR="00896724">
        <w:rPr>
          <w:rFonts w:cstheme="minorHAnsi"/>
        </w:rPr>
        <w:t>its</w:t>
      </w:r>
      <w:r w:rsidR="001A251B" w:rsidRPr="00A95BB4">
        <w:rPr>
          <w:rFonts w:cstheme="minorHAnsi"/>
        </w:rPr>
        <w:t xml:space="preserve"> </w:t>
      </w:r>
      <w:r w:rsidR="001313E3" w:rsidRPr="00A95BB4">
        <w:rPr>
          <w:rFonts w:cstheme="minorHAnsi"/>
        </w:rPr>
        <w:t>core</w:t>
      </w:r>
      <w:r w:rsidR="001A251B" w:rsidRPr="00A95BB4">
        <w:rPr>
          <w:rFonts w:cstheme="minorHAnsi"/>
        </w:rPr>
        <w:t xml:space="preserve"> function </w:t>
      </w:r>
      <w:r w:rsidR="00947148">
        <w:rPr>
          <w:rFonts w:cstheme="minorHAnsi"/>
        </w:rPr>
        <w:t xml:space="preserve">and </w:t>
      </w:r>
      <w:r w:rsidR="00434450" w:rsidRPr="00A95BB4">
        <w:rPr>
          <w:rFonts w:cstheme="minorHAnsi"/>
        </w:rPr>
        <w:t xml:space="preserve">will continue to work on the </w:t>
      </w:r>
      <w:r w:rsidR="001A251B" w:rsidRPr="00A95BB4">
        <w:rPr>
          <w:rFonts w:cstheme="minorHAnsi"/>
        </w:rPr>
        <w:t>other functional areas specified in the previous</w:t>
      </w:r>
      <w:r w:rsidR="00434450" w:rsidRPr="00A95BB4">
        <w:rPr>
          <w:rFonts w:cstheme="minorHAnsi"/>
        </w:rPr>
        <w:t xml:space="preserve"> PMNCH</w:t>
      </w:r>
      <w:r w:rsidR="001A251B" w:rsidRPr="00A95BB4">
        <w:rPr>
          <w:rFonts w:cstheme="minorHAnsi"/>
        </w:rPr>
        <w:t xml:space="preserve"> Strategic Plan</w:t>
      </w:r>
      <w:r w:rsidR="00434450" w:rsidRPr="00A95BB4">
        <w:rPr>
          <w:rFonts w:cstheme="minorHAnsi"/>
        </w:rPr>
        <w:t xml:space="preserve"> and Business Plan</w:t>
      </w:r>
      <w:r w:rsidR="001A251B" w:rsidRPr="00A95BB4">
        <w:rPr>
          <w:rFonts w:cstheme="minorHAnsi"/>
        </w:rPr>
        <w:t xml:space="preserve"> (</w:t>
      </w:r>
      <w:r w:rsidR="008A041C" w:rsidRPr="00A95BB4">
        <w:rPr>
          <w:rFonts w:cstheme="minorHAnsi"/>
        </w:rPr>
        <w:t>A</w:t>
      </w:r>
      <w:r w:rsidR="001A251B" w:rsidRPr="00A95BB4">
        <w:rPr>
          <w:rFonts w:cstheme="minorHAnsi"/>
        </w:rPr>
        <w:t xml:space="preserve">nalysis, </w:t>
      </w:r>
      <w:r w:rsidR="008A041C" w:rsidRPr="00A95BB4">
        <w:rPr>
          <w:rFonts w:cstheme="minorHAnsi"/>
        </w:rPr>
        <w:t>A</w:t>
      </w:r>
      <w:r w:rsidR="001A251B" w:rsidRPr="00A95BB4">
        <w:rPr>
          <w:rFonts w:cstheme="minorHAnsi"/>
        </w:rPr>
        <w:t xml:space="preserve">ccountability and </w:t>
      </w:r>
      <w:r w:rsidR="008A041C" w:rsidRPr="00A95BB4">
        <w:rPr>
          <w:rFonts w:cstheme="minorHAnsi"/>
        </w:rPr>
        <w:t>A</w:t>
      </w:r>
      <w:r w:rsidR="001A251B" w:rsidRPr="00A95BB4">
        <w:rPr>
          <w:rFonts w:cstheme="minorHAnsi"/>
        </w:rPr>
        <w:t xml:space="preserve">lignment), but as </w:t>
      </w:r>
      <w:r w:rsidR="008A041C" w:rsidRPr="00A95BB4">
        <w:rPr>
          <w:rFonts w:cstheme="minorHAnsi"/>
        </w:rPr>
        <w:t>integrated efforts to drive forward Advocacy, rather than acting as parallel functions</w:t>
      </w:r>
      <w:r w:rsidR="001A251B" w:rsidRPr="00A95BB4">
        <w:rPr>
          <w:rFonts w:cstheme="minorHAnsi"/>
        </w:rPr>
        <w:t xml:space="preserve">. This represents much greater focus and a shift in emphasis from PMNCH’s 2016-2020 Strategic Plan when the four </w:t>
      </w:r>
      <w:r w:rsidR="00630302" w:rsidRPr="00A95BB4">
        <w:rPr>
          <w:rFonts w:cstheme="minorHAnsi"/>
        </w:rPr>
        <w:t>‘</w:t>
      </w:r>
      <w:r w:rsidR="001A251B" w:rsidRPr="00A95BB4">
        <w:rPr>
          <w:rFonts w:cstheme="minorHAnsi"/>
        </w:rPr>
        <w:t>A</w:t>
      </w:r>
      <w:r w:rsidR="00630302" w:rsidRPr="00A95BB4">
        <w:rPr>
          <w:rFonts w:cstheme="minorHAnsi"/>
        </w:rPr>
        <w:t>’</w:t>
      </w:r>
      <w:r w:rsidR="001A251B" w:rsidRPr="00A95BB4">
        <w:rPr>
          <w:rFonts w:cstheme="minorHAnsi"/>
        </w:rPr>
        <w:t xml:space="preserve"> functions were equally prioritized. </w:t>
      </w:r>
    </w:p>
    <w:p w14:paraId="18F773EF" w14:textId="77777777" w:rsidR="00630302" w:rsidRPr="00A95BB4" w:rsidRDefault="00630302" w:rsidP="00B355D4">
      <w:pPr>
        <w:pStyle w:val="ListParagraph"/>
        <w:ind w:left="0"/>
        <w:rPr>
          <w:rFonts w:cstheme="minorHAnsi"/>
        </w:rPr>
      </w:pPr>
    </w:p>
    <w:p w14:paraId="586EE492" w14:textId="61E94941" w:rsidR="005B3CAF" w:rsidRPr="00B355D4" w:rsidRDefault="001A251B" w:rsidP="00B355D4">
      <w:pPr>
        <w:jc w:val="both"/>
        <w:rPr>
          <w:rFonts w:cstheme="minorHAnsi"/>
        </w:rPr>
      </w:pPr>
      <w:r w:rsidRPr="00A95BB4">
        <w:rPr>
          <w:rFonts w:cstheme="minorHAnsi"/>
        </w:rPr>
        <w:t xml:space="preserve">Advocacy will be supported by three </w:t>
      </w:r>
      <w:r w:rsidR="001313E3" w:rsidRPr="00A95BB4">
        <w:rPr>
          <w:rFonts w:cstheme="minorHAnsi"/>
        </w:rPr>
        <w:t>main approaches</w:t>
      </w:r>
      <w:r w:rsidR="00971F09" w:rsidRPr="00A95BB4">
        <w:rPr>
          <w:rFonts w:cstheme="minorHAnsi"/>
        </w:rPr>
        <w:t xml:space="preserve"> (with </w:t>
      </w:r>
      <w:r w:rsidR="00434450" w:rsidRPr="00A95BB4">
        <w:rPr>
          <w:rFonts w:cstheme="minorHAnsi"/>
        </w:rPr>
        <w:t>examples of existing</w:t>
      </w:r>
      <w:r w:rsidR="00971F09" w:rsidRPr="00A95BB4">
        <w:rPr>
          <w:rFonts w:cstheme="minorHAnsi"/>
        </w:rPr>
        <w:t xml:space="preserve"> activities</w:t>
      </w:r>
      <w:r w:rsidR="00434450" w:rsidRPr="00A95BB4">
        <w:rPr>
          <w:rFonts w:cstheme="minorHAnsi"/>
        </w:rPr>
        <w:t xml:space="preserve"> and products</w:t>
      </w:r>
      <w:r w:rsidR="00971F09" w:rsidRPr="00A95BB4">
        <w:rPr>
          <w:rFonts w:cstheme="minorHAnsi"/>
        </w:rPr>
        <w:t xml:space="preserve"> listed below in italics)</w:t>
      </w:r>
      <w:r w:rsidRPr="00A95BB4">
        <w:rPr>
          <w:rFonts w:cstheme="minorHAnsi"/>
        </w:rPr>
        <w:t>:</w:t>
      </w:r>
      <w:r w:rsidRPr="00B355D4">
        <w:rPr>
          <w:rFonts w:cstheme="minorHAnsi"/>
        </w:rPr>
        <w:t xml:space="preserve"> </w:t>
      </w:r>
    </w:p>
    <w:p w14:paraId="01B4AC65" w14:textId="4980440D" w:rsidR="00210FB2" w:rsidRPr="00DE7D30" w:rsidRDefault="005B3CAF" w:rsidP="00B355D4">
      <w:pPr>
        <w:pStyle w:val="ListParagraph"/>
        <w:ind w:left="0"/>
        <w:jc w:val="both"/>
        <w:rPr>
          <w:rFonts w:cstheme="minorHAnsi"/>
        </w:rPr>
      </w:pPr>
      <w:r>
        <w:rPr>
          <w:rFonts w:cstheme="minorHAnsi"/>
          <w:noProof/>
        </w:rPr>
        <mc:AlternateContent>
          <mc:Choice Requires="wps">
            <w:drawing>
              <wp:anchor distT="0" distB="0" distL="114300" distR="114300" simplePos="0" relativeHeight="251672576" behindDoc="0" locked="0" layoutInCell="1" allowOverlap="1" wp14:anchorId="604F42F6" wp14:editId="3E9B6120">
                <wp:simplePos x="0" y="0"/>
                <wp:positionH relativeFrom="column">
                  <wp:posOffset>1619250</wp:posOffset>
                </wp:positionH>
                <wp:positionV relativeFrom="paragraph">
                  <wp:posOffset>1128395</wp:posOffset>
                </wp:positionV>
                <wp:extent cx="381000" cy="222250"/>
                <wp:effectExtent l="19050" t="19050" r="19050" b="44450"/>
                <wp:wrapNone/>
                <wp:docPr id="5" name="Arrow: Left-Right 5"/>
                <wp:cNvGraphicFramePr/>
                <a:graphic xmlns:a="http://schemas.openxmlformats.org/drawingml/2006/main">
                  <a:graphicData uri="http://schemas.microsoft.com/office/word/2010/wordprocessingShape">
                    <wps:wsp>
                      <wps:cNvSpPr/>
                      <wps:spPr>
                        <a:xfrm>
                          <a:off x="0" y="0"/>
                          <a:ext cx="381000" cy="222250"/>
                        </a:xfrm>
                        <a:prstGeom prst="lef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9400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26" type="#_x0000_t69" style="position:absolute;margin-left:127.5pt;margin-top:88.85pt;width:30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" adj="6300" fillcolor="#b4c6e7 [1300]" strokecolor="#b4c6e7 [1300]" strokeweight="1pt"/>
            </w:pict>
          </mc:Fallback>
        </mc:AlternateContent>
      </w:r>
      <w:r>
        <w:rPr>
          <w:rFonts w:cstheme="minorHAnsi"/>
          <w:noProof/>
        </w:rPr>
        <mc:AlternateContent>
          <mc:Choice Requires="wps">
            <w:drawing>
              <wp:anchor distT="0" distB="0" distL="114300" distR="114300" simplePos="0" relativeHeight="251674624" behindDoc="0" locked="0" layoutInCell="1" allowOverlap="1" wp14:anchorId="6C7549EC" wp14:editId="6057B8F5">
                <wp:simplePos x="0" y="0"/>
                <wp:positionH relativeFrom="column">
                  <wp:posOffset>3733800</wp:posOffset>
                </wp:positionH>
                <wp:positionV relativeFrom="paragraph">
                  <wp:posOffset>1128395</wp:posOffset>
                </wp:positionV>
                <wp:extent cx="381000" cy="222250"/>
                <wp:effectExtent l="19050" t="19050" r="19050" b="44450"/>
                <wp:wrapNone/>
                <wp:docPr id="23" name="Arrow: Left-Right 23"/>
                <wp:cNvGraphicFramePr/>
                <a:graphic xmlns:a="http://schemas.openxmlformats.org/drawingml/2006/main">
                  <a:graphicData uri="http://schemas.microsoft.com/office/word/2010/wordprocessingShape">
                    <wps:wsp>
                      <wps:cNvSpPr/>
                      <wps:spPr>
                        <a:xfrm>
                          <a:off x="0" y="0"/>
                          <a:ext cx="381000" cy="222250"/>
                        </a:xfrm>
                        <a:prstGeom prst="leftRightArrow">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EA7B4" id="Arrow: Left-Right 23" o:spid="_x0000_s1026" type="#_x0000_t69" style="position:absolute;margin-left:294pt;margin-top:88.85pt;width:30pt;height: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" adj="6300" fillcolor="#b4c6e7 [1300]" strokecolor="#b4c6e7 [1300]" strokeweight="1pt"/>
            </w:pict>
          </mc:Fallback>
        </mc:AlternateContent>
      </w:r>
      <w:r w:rsidR="00434450" w:rsidRPr="00DE7D30">
        <w:rPr>
          <w:rFonts w:cstheme="minorHAnsi"/>
          <w:noProof/>
        </w:rPr>
        <w:drawing>
          <wp:anchor distT="0" distB="0" distL="114300" distR="114300" simplePos="0" relativeHeight="251651072" behindDoc="0" locked="0" layoutInCell="1" allowOverlap="1" wp14:anchorId="61724B3D" wp14:editId="4DF82E0C">
            <wp:simplePos x="0" y="0"/>
            <wp:positionH relativeFrom="margin">
              <wp:posOffset>-234950</wp:posOffset>
            </wp:positionH>
            <wp:positionV relativeFrom="paragraph">
              <wp:posOffset>198120</wp:posOffset>
            </wp:positionV>
            <wp:extent cx="6216650" cy="1317625"/>
            <wp:effectExtent l="0" t="0" r="0" b="5397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14:paraId="20EE0E47" w14:textId="5807F917" w:rsidR="00210FB2" w:rsidRDefault="00210FB2" w:rsidP="00DE7D30">
      <w:pPr>
        <w:pStyle w:val="ListParagraph"/>
        <w:ind w:left="426"/>
        <w:jc w:val="both"/>
        <w:rPr>
          <w:rFonts w:cstheme="minorHAnsi"/>
        </w:rPr>
      </w:pPr>
    </w:p>
    <w:p w14:paraId="2DD1E15A" w14:textId="32794472" w:rsidR="00A27FE6" w:rsidRPr="00DE7D30" w:rsidRDefault="00A27FE6" w:rsidP="00DE7D30">
      <w:pPr>
        <w:pStyle w:val="ListParagraph"/>
        <w:ind w:left="426"/>
        <w:jc w:val="both"/>
        <w:rPr>
          <w:rFonts w:cstheme="minorHAnsi"/>
        </w:rPr>
      </w:pPr>
    </w:p>
    <w:p w14:paraId="65DA2C67" w14:textId="36C6C6DF" w:rsidR="00210FB2" w:rsidRPr="00A95BB4" w:rsidRDefault="00630302" w:rsidP="00710F59">
      <w:pPr>
        <w:numPr>
          <w:ilvl w:val="0"/>
          <w:numId w:val="9"/>
        </w:numPr>
        <w:contextualSpacing/>
        <w:jc w:val="both"/>
        <w:rPr>
          <w:rFonts w:eastAsia="Times New Roman" w:cstheme="minorHAnsi"/>
          <w:i/>
          <w:iCs/>
        </w:rPr>
      </w:pPr>
      <w:r w:rsidRPr="00954379">
        <w:rPr>
          <w:rFonts w:cstheme="minorHAnsi"/>
          <w:b/>
          <w:bCs/>
        </w:rPr>
        <w:t xml:space="preserve">Knowledge </w:t>
      </w:r>
      <w:r w:rsidR="00847FBE" w:rsidRPr="00954379">
        <w:rPr>
          <w:rFonts w:cstheme="minorHAnsi"/>
          <w:b/>
          <w:bCs/>
        </w:rPr>
        <w:t>synthesis</w:t>
      </w:r>
      <w:r w:rsidRPr="00954379">
        <w:rPr>
          <w:rFonts w:cstheme="minorHAnsi"/>
          <w:b/>
          <w:bCs/>
        </w:rPr>
        <w:t xml:space="preserve"> &amp; application</w:t>
      </w:r>
      <w:r w:rsidRPr="00954379">
        <w:rPr>
          <w:rFonts w:cstheme="minorHAnsi"/>
        </w:rPr>
        <w:t xml:space="preserve">: </w:t>
      </w:r>
      <w:r w:rsidR="00954379" w:rsidRPr="00954379">
        <w:rPr>
          <w:rFonts w:cstheme="minorHAnsi"/>
        </w:rPr>
        <w:t>synthesising</w:t>
      </w:r>
      <w:r w:rsidR="00DA3A52">
        <w:rPr>
          <w:rFonts w:cstheme="minorHAnsi"/>
        </w:rPr>
        <w:t xml:space="preserve"> and packaging</w:t>
      </w:r>
      <w:r w:rsidRPr="00954379">
        <w:rPr>
          <w:rFonts w:cstheme="minorHAnsi"/>
        </w:rPr>
        <w:t xml:space="preserve"> </w:t>
      </w:r>
      <w:r w:rsidR="00DA3A52">
        <w:rPr>
          <w:rFonts w:cstheme="minorHAnsi"/>
        </w:rPr>
        <w:t xml:space="preserve">data and </w:t>
      </w:r>
      <w:r w:rsidRPr="00954379">
        <w:rPr>
          <w:rFonts w:cstheme="minorHAnsi"/>
        </w:rPr>
        <w:t xml:space="preserve">evidence </w:t>
      </w:r>
      <w:r w:rsidR="00DA3A52">
        <w:rPr>
          <w:rFonts w:cstheme="minorHAnsi"/>
        </w:rPr>
        <w:t xml:space="preserve">to identify and illustrate gaps in progress; inform advocacy </w:t>
      </w:r>
      <w:r w:rsidR="000454DF">
        <w:rPr>
          <w:rFonts w:cstheme="minorHAnsi"/>
        </w:rPr>
        <w:t>‘</w:t>
      </w:r>
      <w:r w:rsidR="00DA3A52">
        <w:rPr>
          <w:rFonts w:cstheme="minorHAnsi"/>
        </w:rPr>
        <w:t>asks</w:t>
      </w:r>
      <w:r w:rsidR="000454DF">
        <w:rPr>
          <w:rFonts w:cstheme="minorHAnsi"/>
        </w:rPr>
        <w:t>’</w:t>
      </w:r>
      <w:r w:rsidR="00DA3A52">
        <w:rPr>
          <w:rFonts w:cstheme="minorHAnsi"/>
        </w:rPr>
        <w:t xml:space="preserve">; and </w:t>
      </w:r>
      <w:r w:rsidR="0069067E">
        <w:rPr>
          <w:rFonts w:cstheme="minorHAnsi"/>
        </w:rPr>
        <w:t xml:space="preserve">support consensus building in joint </w:t>
      </w:r>
      <w:r w:rsidR="00DA3A52" w:rsidRPr="00A95BB4">
        <w:rPr>
          <w:rFonts w:cstheme="minorHAnsi"/>
        </w:rPr>
        <w:t>messaging</w:t>
      </w:r>
      <w:r w:rsidR="0069067E" w:rsidRPr="00A95BB4">
        <w:rPr>
          <w:rFonts w:cstheme="minorHAnsi"/>
        </w:rPr>
        <w:t xml:space="preserve"> for advocacy</w:t>
      </w:r>
      <w:r w:rsidR="00536CF8" w:rsidRPr="00A95BB4">
        <w:rPr>
          <w:rFonts w:cstheme="minorHAnsi"/>
        </w:rPr>
        <w:t xml:space="preserve"> goals</w:t>
      </w:r>
      <w:r w:rsidR="00DA3A52" w:rsidRPr="00A95BB4">
        <w:rPr>
          <w:rFonts w:cstheme="minorHAnsi"/>
        </w:rPr>
        <w:t xml:space="preserve"> </w:t>
      </w:r>
      <w:r w:rsidR="00954379" w:rsidRPr="00A95BB4">
        <w:rPr>
          <w:rFonts w:cstheme="minorHAnsi"/>
        </w:rPr>
        <w:t>(</w:t>
      </w:r>
      <w:r w:rsidR="00210FB2" w:rsidRPr="00A95BB4">
        <w:rPr>
          <w:rFonts w:cstheme="minorHAnsi"/>
          <w:b/>
          <w:bCs/>
          <w:i/>
          <w:iCs/>
        </w:rPr>
        <w:t>e</w:t>
      </w:r>
      <w:r w:rsidR="00210FB2" w:rsidRPr="00A95BB4">
        <w:rPr>
          <w:rFonts w:cstheme="minorHAnsi"/>
          <w:i/>
          <w:iCs/>
        </w:rPr>
        <w:t>.g. Adolescent Well-Being Framework; Essential Interventions</w:t>
      </w:r>
      <w:r w:rsidR="009E3D18" w:rsidRPr="00A95BB4">
        <w:rPr>
          <w:rFonts w:cstheme="minorHAnsi"/>
          <w:i/>
          <w:iCs/>
        </w:rPr>
        <w:t>, Medicines and Commodities</w:t>
      </w:r>
      <w:r w:rsidR="00210FB2" w:rsidRPr="00A95BB4">
        <w:rPr>
          <w:rFonts w:cstheme="minorHAnsi"/>
          <w:i/>
          <w:iCs/>
        </w:rPr>
        <w:t xml:space="preserve"> in Universal Health Coverage</w:t>
      </w:r>
      <w:r w:rsidR="00954379" w:rsidRPr="00A95BB4">
        <w:rPr>
          <w:rFonts w:cstheme="minorHAnsi"/>
          <w:i/>
          <w:iCs/>
        </w:rPr>
        <w:t>)</w:t>
      </w:r>
      <w:r w:rsidR="00C02240">
        <w:rPr>
          <w:rFonts w:cstheme="minorHAnsi"/>
          <w:i/>
          <w:iCs/>
        </w:rPr>
        <w:t>.</w:t>
      </w:r>
    </w:p>
    <w:p w14:paraId="07D33171" w14:textId="77777777" w:rsidR="00210FB2" w:rsidRPr="00A95BB4" w:rsidRDefault="00210FB2" w:rsidP="00DE7D30">
      <w:pPr>
        <w:pStyle w:val="ListParagraph"/>
        <w:jc w:val="both"/>
        <w:rPr>
          <w:rFonts w:cstheme="minorHAnsi"/>
        </w:rPr>
      </w:pPr>
    </w:p>
    <w:p w14:paraId="6F47860C" w14:textId="02C828AA" w:rsidR="00434450" w:rsidRPr="00A95BB4" w:rsidRDefault="00630302" w:rsidP="00434450">
      <w:pPr>
        <w:numPr>
          <w:ilvl w:val="0"/>
          <w:numId w:val="9"/>
        </w:numPr>
        <w:contextualSpacing/>
        <w:jc w:val="both"/>
        <w:rPr>
          <w:rFonts w:cstheme="minorHAnsi"/>
          <w:i/>
          <w:iCs/>
        </w:rPr>
      </w:pPr>
      <w:r w:rsidRPr="00A95BB4">
        <w:rPr>
          <w:rFonts w:cstheme="minorHAnsi"/>
          <w:b/>
          <w:bCs/>
        </w:rPr>
        <w:t xml:space="preserve">Partner </w:t>
      </w:r>
      <w:r w:rsidR="000454DF" w:rsidRPr="00A95BB4">
        <w:rPr>
          <w:rFonts w:cstheme="minorHAnsi"/>
          <w:b/>
          <w:bCs/>
        </w:rPr>
        <w:t>engagement</w:t>
      </w:r>
      <w:r w:rsidR="00402DA0" w:rsidRPr="00A95BB4">
        <w:rPr>
          <w:rFonts w:cstheme="minorHAnsi"/>
          <w:b/>
          <w:bCs/>
        </w:rPr>
        <w:t xml:space="preserve">, </w:t>
      </w:r>
      <w:r w:rsidR="00F539A9" w:rsidRPr="00A95BB4">
        <w:rPr>
          <w:rFonts w:cstheme="minorHAnsi"/>
          <w:b/>
          <w:bCs/>
        </w:rPr>
        <w:t>alignment</w:t>
      </w:r>
      <w:r w:rsidRPr="00A95BB4">
        <w:rPr>
          <w:rFonts w:cstheme="minorHAnsi"/>
          <w:b/>
          <w:bCs/>
        </w:rPr>
        <w:t xml:space="preserve"> &amp; empowerment</w:t>
      </w:r>
      <w:r w:rsidRPr="00A95BB4">
        <w:rPr>
          <w:rFonts w:cstheme="minorHAnsi"/>
        </w:rPr>
        <w:t xml:space="preserve">: connecting </w:t>
      </w:r>
      <w:r w:rsidR="00954379" w:rsidRPr="00A95BB4">
        <w:rPr>
          <w:rFonts w:cstheme="minorHAnsi"/>
        </w:rPr>
        <w:t xml:space="preserve">and aligning </w:t>
      </w:r>
      <w:r w:rsidRPr="00A95BB4">
        <w:rPr>
          <w:rFonts w:cstheme="minorHAnsi"/>
        </w:rPr>
        <w:t xml:space="preserve">partners through digital </w:t>
      </w:r>
      <w:r w:rsidR="00954379" w:rsidRPr="00A95BB4">
        <w:rPr>
          <w:rFonts w:cstheme="minorHAnsi"/>
        </w:rPr>
        <w:t xml:space="preserve">methods and </w:t>
      </w:r>
      <w:r w:rsidRPr="00A95BB4">
        <w:rPr>
          <w:rFonts w:cstheme="minorHAnsi"/>
        </w:rPr>
        <w:t>convening</w:t>
      </w:r>
      <w:r w:rsidR="00954379" w:rsidRPr="00A95BB4">
        <w:rPr>
          <w:rFonts w:cstheme="minorHAnsi"/>
        </w:rPr>
        <w:t>,</w:t>
      </w:r>
      <w:r w:rsidRPr="00A95BB4">
        <w:rPr>
          <w:rFonts w:cstheme="minorHAnsi"/>
        </w:rPr>
        <w:t xml:space="preserve"> and building their capacity </w:t>
      </w:r>
      <w:r w:rsidR="00954379" w:rsidRPr="00A95BB4">
        <w:rPr>
          <w:rFonts w:cstheme="minorHAnsi"/>
        </w:rPr>
        <w:t xml:space="preserve">to </w:t>
      </w:r>
      <w:r w:rsidR="00897FE9" w:rsidRPr="00A95BB4">
        <w:rPr>
          <w:rFonts w:cstheme="minorHAnsi"/>
        </w:rPr>
        <w:t>hold duty bearers to account and to be more effective advocates for WCAH</w:t>
      </w:r>
      <w:r w:rsidR="00954379" w:rsidRPr="00A95BB4">
        <w:rPr>
          <w:rFonts w:cstheme="minorHAnsi"/>
        </w:rPr>
        <w:t xml:space="preserve"> (</w:t>
      </w:r>
      <w:r w:rsidR="00210FB2" w:rsidRPr="00A95BB4">
        <w:rPr>
          <w:rFonts w:cstheme="minorHAnsi"/>
          <w:i/>
          <w:iCs/>
        </w:rPr>
        <w:t xml:space="preserve">e.g. support to Multi-Stakeholder Platforms; </w:t>
      </w:r>
      <w:r w:rsidR="0013026B" w:rsidRPr="00A95BB4">
        <w:rPr>
          <w:rFonts w:cstheme="minorHAnsi"/>
          <w:i/>
          <w:iCs/>
        </w:rPr>
        <w:t xml:space="preserve">Parliamentary hearings; </w:t>
      </w:r>
      <w:r w:rsidR="00434450" w:rsidRPr="00A95BB4">
        <w:rPr>
          <w:rFonts w:cstheme="minorHAnsi"/>
          <w:i/>
          <w:iCs/>
        </w:rPr>
        <w:t>s</w:t>
      </w:r>
      <w:r w:rsidR="00210FB2" w:rsidRPr="00A95BB4">
        <w:rPr>
          <w:rFonts w:cstheme="minorHAnsi"/>
          <w:i/>
          <w:iCs/>
        </w:rPr>
        <w:t xml:space="preserve">mall </w:t>
      </w:r>
      <w:r w:rsidR="00434450" w:rsidRPr="00A95BB4">
        <w:rPr>
          <w:rFonts w:cstheme="minorHAnsi"/>
          <w:i/>
          <w:iCs/>
        </w:rPr>
        <w:t>g</w:t>
      </w:r>
      <w:r w:rsidR="00210FB2" w:rsidRPr="00A95BB4">
        <w:rPr>
          <w:rFonts w:cstheme="minorHAnsi"/>
          <w:i/>
          <w:iCs/>
        </w:rPr>
        <w:t xml:space="preserve">rants for </w:t>
      </w:r>
      <w:r w:rsidR="00E8700B" w:rsidRPr="00A95BB4">
        <w:rPr>
          <w:rFonts w:cstheme="minorHAnsi"/>
          <w:i/>
          <w:iCs/>
        </w:rPr>
        <w:t>A</w:t>
      </w:r>
      <w:r w:rsidR="00434450" w:rsidRPr="00A95BB4">
        <w:rPr>
          <w:rFonts w:cstheme="minorHAnsi"/>
          <w:i/>
          <w:iCs/>
        </w:rPr>
        <w:t xml:space="preserve">dolescent and </w:t>
      </w:r>
      <w:r w:rsidR="00E8700B" w:rsidRPr="00A95BB4">
        <w:rPr>
          <w:rFonts w:cstheme="minorHAnsi"/>
          <w:i/>
          <w:iCs/>
        </w:rPr>
        <w:t>Y</w:t>
      </w:r>
      <w:r w:rsidR="00434450" w:rsidRPr="00A95BB4">
        <w:rPr>
          <w:rFonts w:cstheme="minorHAnsi"/>
          <w:i/>
          <w:iCs/>
        </w:rPr>
        <w:t>outh organisations</w:t>
      </w:r>
      <w:r w:rsidR="00954379" w:rsidRPr="00A95BB4">
        <w:rPr>
          <w:rFonts w:cstheme="minorHAnsi"/>
          <w:i/>
          <w:iCs/>
        </w:rPr>
        <w:t>)</w:t>
      </w:r>
      <w:r w:rsidR="00C02240">
        <w:rPr>
          <w:rFonts w:cstheme="minorHAnsi"/>
          <w:i/>
          <w:iCs/>
        </w:rPr>
        <w:t>.</w:t>
      </w:r>
    </w:p>
    <w:p w14:paraId="45995DD3" w14:textId="77777777" w:rsidR="00434450" w:rsidRPr="00A95BB4" w:rsidRDefault="00434450" w:rsidP="00434450">
      <w:pPr>
        <w:ind w:left="720"/>
        <w:contextualSpacing/>
        <w:jc w:val="both"/>
        <w:rPr>
          <w:rFonts w:cstheme="minorHAnsi"/>
          <w:i/>
          <w:iCs/>
        </w:rPr>
      </w:pPr>
    </w:p>
    <w:p w14:paraId="17F3405D" w14:textId="68F3CAB2" w:rsidR="00630302" w:rsidRPr="00A95BB4" w:rsidRDefault="00434450" w:rsidP="00434450">
      <w:pPr>
        <w:numPr>
          <w:ilvl w:val="0"/>
          <w:numId w:val="9"/>
        </w:numPr>
        <w:contextualSpacing/>
        <w:jc w:val="both"/>
        <w:rPr>
          <w:rFonts w:cstheme="minorHAnsi"/>
          <w:i/>
          <w:iCs/>
        </w:rPr>
      </w:pPr>
      <w:r w:rsidRPr="00A95BB4">
        <w:rPr>
          <w:rFonts w:cstheme="minorHAnsi"/>
          <w:b/>
          <w:bCs/>
        </w:rPr>
        <w:t>Execution of campaigns &amp; accountability for outcomes</w:t>
      </w:r>
      <w:r w:rsidR="00630302" w:rsidRPr="00A95BB4">
        <w:rPr>
          <w:rFonts w:cstheme="minorHAnsi"/>
        </w:rPr>
        <w:t xml:space="preserve">: </w:t>
      </w:r>
      <w:r w:rsidR="00536CF8" w:rsidRPr="00A95BB4">
        <w:rPr>
          <w:rFonts w:cstheme="minorHAnsi"/>
        </w:rPr>
        <w:t xml:space="preserve">designing and </w:t>
      </w:r>
      <w:r w:rsidR="00381371" w:rsidRPr="00A95BB4">
        <w:rPr>
          <w:rFonts w:cstheme="minorHAnsi"/>
        </w:rPr>
        <w:t xml:space="preserve">conducting </w:t>
      </w:r>
      <w:r w:rsidR="00536CF8" w:rsidRPr="00A95BB4">
        <w:rPr>
          <w:rFonts w:cstheme="minorHAnsi"/>
        </w:rPr>
        <w:t xml:space="preserve">targeted </w:t>
      </w:r>
      <w:r w:rsidR="00381371" w:rsidRPr="00A95BB4">
        <w:rPr>
          <w:rFonts w:cstheme="minorHAnsi"/>
        </w:rPr>
        <w:t>advocacy campaigns</w:t>
      </w:r>
      <w:r w:rsidR="00536CF8" w:rsidRPr="00A95BB4">
        <w:rPr>
          <w:rFonts w:cstheme="minorHAnsi"/>
        </w:rPr>
        <w:t xml:space="preserve"> </w:t>
      </w:r>
      <w:r w:rsidR="008A041C" w:rsidRPr="00A95BB4">
        <w:rPr>
          <w:rFonts w:cstheme="minorHAnsi"/>
        </w:rPr>
        <w:t>engaging all partners and high</w:t>
      </w:r>
      <w:r w:rsidR="00C02240">
        <w:rPr>
          <w:rFonts w:cstheme="minorHAnsi"/>
        </w:rPr>
        <w:t>-</w:t>
      </w:r>
      <w:r w:rsidR="008A041C" w:rsidRPr="00A95BB4">
        <w:rPr>
          <w:rFonts w:cstheme="minorHAnsi"/>
        </w:rPr>
        <w:t>level champions to amplify evidence-based messages and achieve impact, holding all sta</w:t>
      </w:r>
      <w:r w:rsidR="009E3D18" w:rsidRPr="00A95BB4">
        <w:rPr>
          <w:rFonts w:cstheme="minorHAnsi"/>
        </w:rPr>
        <w:t>k</w:t>
      </w:r>
      <w:r w:rsidR="008A041C" w:rsidRPr="00A95BB4">
        <w:rPr>
          <w:rFonts w:cstheme="minorHAnsi"/>
        </w:rPr>
        <w:t xml:space="preserve">eholders to account </w:t>
      </w:r>
      <w:r w:rsidR="00954379" w:rsidRPr="00A95BB4">
        <w:rPr>
          <w:rFonts w:cstheme="minorHAnsi"/>
        </w:rPr>
        <w:t>(</w:t>
      </w:r>
      <w:r w:rsidR="00954379" w:rsidRPr="00A95BB4">
        <w:rPr>
          <w:rFonts w:cstheme="minorHAnsi"/>
          <w:i/>
          <w:iCs/>
        </w:rPr>
        <w:t>e.</w:t>
      </w:r>
      <w:r w:rsidR="00210FB2" w:rsidRPr="00A95BB4">
        <w:rPr>
          <w:rFonts w:cstheme="minorHAnsi"/>
          <w:i/>
          <w:iCs/>
        </w:rPr>
        <w:t xml:space="preserve">g. </w:t>
      </w:r>
      <w:r w:rsidR="008A041C" w:rsidRPr="00A95BB4">
        <w:rPr>
          <w:rFonts w:cstheme="minorHAnsi"/>
          <w:i/>
          <w:iCs/>
        </w:rPr>
        <w:t xml:space="preserve">COVID-19 campaign, </w:t>
      </w:r>
      <w:r w:rsidR="00B914D9" w:rsidRPr="00A95BB4">
        <w:rPr>
          <w:rFonts w:cstheme="minorHAnsi"/>
          <w:i/>
          <w:iCs/>
        </w:rPr>
        <w:t xml:space="preserve">Network of </w:t>
      </w:r>
      <w:r w:rsidR="00971F09" w:rsidRPr="00A95BB4">
        <w:rPr>
          <w:rFonts w:cstheme="minorHAnsi"/>
          <w:i/>
          <w:iCs/>
        </w:rPr>
        <w:t>Leaders</w:t>
      </w:r>
      <w:r w:rsidR="00B914D9" w:rsidRPr="00A95BB4">
        <w:rPr>
          <w:rFonts w:cstheme="minorHAnsi"/>
          <w:i/>
          <w:iCs/>
        </w:rPr>
        <w:t>, media, celebrity engagement</w:t>
      </w:r>
      <w:r w:rsidR="00954379" w:rsidRPr="00A95BB4">
        <w:rPr>
          <w:rFonts w:cstheme="minorHAnsi"/>
          <w:i/>
          <w:iCs/>
        </w:rPr>
        <w:t>)</w:t>
      </w:r>
      <w:r w:rsidR="00536CF8" w:rsidRPr="00A95BB4">
        <w:rPr>
          <w:rFonts w:cstheme="minorHAnsi"/>
          <w:i/>
          <w:iCs/>
        </w:rPr>
        <w:t>.</w:t>
      </w:r>
    </w:p>
    <w:p w14:paraId="74141EB9" w14:textId="142C0A5F" w:rsidR="00210FB2" w:rsidRPr="00A95BB4" w:rsidRDefault="00210FB2" w:rsidP="00DE7D30">
      <w:pPr>
        <w:pStyle w:val="ListParagraph"/>
        <w:ind w:left="426"/>
        <w:jc w:val="both"/>
        <w:rPr>
          <w:rFonts w:cstheme="minorHAnsi"/>
        </w:rPr>
      </w:pPr>
    </w:p>
    <w:p w14:paraId="1B810BBD" w14:textId="77777777" w:rsidR="001313E3" w:rsidRPr="00A95BB4" w:rsidRDefault="001313E3" w:rsidP="00760188">
      <w:pPr>
        <w:jc w:val="both"/>
        <w:rPr>
          <w:rFonts w:cstheme="minorHAnsi"/>
        </w:rPr>
      </w:pPr>
    </w:p>
    <w:p w14:paraId="2B5136F7" w14:textId="77777777" w:rsidR="00947148" w:rsidRDefault="008A041C" w:rsidP="001313E3">
      <w:pPr>
        <w:jc w:val="both"/>
        <w:rPr>
          <w:rFonts w:cstheme="minorHAnsi"/>
        </w:rPr>
      </w:pPr>
      <w:r w:rsidRPr="00A95BB4">
        <w:rPr>
          <w:rFonts w:cstheme="minorHAnsi"/>
        </w:rPr>
        <w:t>The Partnership will orchestrate and support multi-pronged advocacy efforts, engaging partners and constituencies from grassroots to the highest political level</w:t>
      </w:r>
      <w:r w:rsidR="001313E3" w:rsidRPr="00A95BB4">
        <w:rPr>
          <w:rFonts w:cstheme="minorHAnsi"/>
        </w:rPr>
        <w:t>, using these three main approaches</w:t>
      </w:r>
      <w:r w:rsidRPr="00A95BB4">
        <w:rPr>
          <w:rFonts w:cstheme="minorHAnsi"/>
        </w:rPr>
        <w:t>.</w:t>
      </w:r>
      <w:r w:rsidR="001313E3" w:rsidRPr="00A95BB4">
        <w:rPr>
          <w:rFonts w:cstheme="minorHAnsi"/>
        </w:rPr>
        <w:t xml:space="preserve"> </w:t>
      </w:r>
    </w:p>
    <w:p w14:paraId="22AFB8BC" w14:textId="77777777" w:rsidR="00947148" w:rsidRDefault="00947148" w:rsidP="001313E3">
      <w:pPr>
        <w:jc w:val="both"/>
        <w:rPr>
          <w:rFonts w:cstheme="minorHAnsi"/>
        </w:rPr>
      </w:pPr>
    </w:p>
    <w:p w14:paraId="18737FA0" w14:textId="2BBA6066" w:rsidR="00954379" w:rsidRDefault="008A041C" w:rsidP="001313E3">
      <w:pPr>
        <w:jc w:val="both"/>
        <w:rPr>
          <w:rFonts w:cstheme="minorHAnsi"/>
          <w:b/>
          <w:bCs/>
        </w:rPr>
      </w:pPr>
      <w:r w:rsidRPr="00A95BB4">
        <w:rPr>
          <w:rFonts w:cstheme="minorHAnsi"/>
        </w:rPr>
        <w:t xml:space="preserve">Historically, the most effective PMNCH-supported campaigns, such as </w:t>
      </w:r>
      <w:proofErr w:type="gramStart"/>
      <w:r w:rsidRPr="00A95BB4">
        <w:rPr>
          <w:rFonts w:cstheme="minorHAnsi"/>
        </w:rPr>
        <w:t>the Every</w:t>
      </w:r>
      <w:proofErr w:type="gramEnd"/>
      <w:r w:rsidRPr="00A95BB4">
        <w:rPr>
          <w:rFonts w:cstheme="minorHAnsi"/>
        </w:rPr>
        <w:t xml:space="preserve"> Woman Every Child </w:t>
      </w:r>
      <w:r w:rsidR="00896724">
        <w:rPr>
          <w:rFonts w:cstheme="minorHAnsi"/>
        </w:rPr>
        <w:t>campaign</w:t>
      </w:r>
      <w:r w:rsidRPr="00A95BB4">
        <w:rPr>
          <w:rFonts w:cstheme="minorHAnsi"/>
        </w:rPr>
        <w:t xml:space="preserve"> or the Every </w:t>
      </w:r>
      <w:proofErr w:type="spellStart"/>
      <w:r w:rsidRPr="00A95BB4">
        <w:rPr>
          <w:rFonts w:cstheme="minorHAnsi"/>
        </w:rPr>
        <w:t>Newborn</w:t>
      </w:r>
      <w:proofErr w:type="spellEnd"/>
      <w:r w:rsidRPr="00A95BB4">
        <w:rPr>
          <w:rFonts w:cstheme="minorHAnsi"/>
        </w:rPr>
        <w:t xml:space="preserve"> Action Plan, have relied on a combination of clear goals and measurable targets, effective leadership, strong partner alignment, effective use of high level champions, crisp messaging, and strong media engagement. Campaigns </w:t>
      </w:r>
      <w:r w:rsidR="00947148">
        <w:rPr>
          <w:rFonts w:cstheme="minorHAnsi"/>
        </w:rPr>
        <w:t>will be</w:t>
      </w:r>
      <w:r w:rsidR="00947148" w:rsidRPr="00A95BB4">
        <w:rPr>
          <w:rFonts w:cstheme="minorHAnsi"/>
        </w:rPr>
        <w:t xml:space="preserve"> </w:t>
      </w:r>
      <w:r w:rsidRPr="00A95BB4">
        <w:rPr>
          <w:rFonts w:cstheme="minorHAnsi"/>
        </w:rPr>
        <w:t>time-bound by nature; precise targets, strategies and tactics shift over time in relation to need and opportunity. In this new 2021-2025 Strategy, PMNCH will place a renewed emphasis on campaigns as a vehicle for progress towards long-standing advocacy goals.</w:t>
      </w:r>
    </w:p>
    <w:p w14:paraId="1F1A2222" w14:textId="3CDC4BE4" w:rsidR="001F5FAB" w:rsidRDefault="001F5FAB" w:rsidP="003D42C8">
      <w:pPr>
        <w:pStyle w:val="ListParagraph"/>
        <w:ind w:left="0"/>
        <w:jc w:val="both"/>
        <w:rPr>
          <w:rFonts w:cstheme="minorHAnsi"/>
          <w:b/>
          <w:bCs/>
        </w:rPr>
      </w:pPr>
    </w:p>
    <w:p w14:paraId="0950E50F" w14:textId="261270F0" w:rsidR="001313E3" w:rsidRPr="00A95BB4" w:rsidRDefault="001313E3" w:rsidP="001313E3">
      <w:pPr>
        <w:pStyle w:val="ListParagraph"/>
        <w:pBdr>
          <w:top w:val="single" w:sz="4" w:space="1" w:color="auto"/>
          <w:left w:val="single" w:sz="4" w:space="4" w:color="auto"/>
          <w:bottom w:val="single" w:sz="4" w:space="1" w:color="auto"/>
          <w:right w:val="single" w:sz="4" w:space="4" w:color="auto"/>
        </w:pBdr>
        <w:shd w:val="clear" w:color="auto" w:fill="DEEAF6" w:themeFill="accent5" w:themeFillTint="33"/>
        <w:ind w:left="0"/>
        <w:jc w:val="center"/>
        <w:rPr>
          <w:rFonts w:cstheme="minorHAnsi"/>
          <w:b/>
          <w:bCs/>
          <w:sz w:val="20"/>
          <w:szCs w:val="20"/>
        </w:rPr>
      </w:pPr>
      <w:r w:rsidRPr="00A95BB4">
        <w:rPr>
          <w:rFonts w:cstheme="minorHAnsi"/>
          <w:b/>
          <w:bCs/>
          <w:sz w:val="20"/>
          <w:szCs w:val="20"/>
        </w:rPr>
        <w:t>PMNCH Advocacy and COVID-19</w:t>
      </w:r>
    </w:p>
    <w:p w14:paraId="7F702439" w14:textId="362B3ECF" w:rsidR="001313E3" w:rsidRPr="00A95BB4" w:rsidRDefault="001313E3" w:rsidP="001313E3">
      <w:pPr>
        <w:pStyle w:val="ListParagraph"/>
        <w:pBdr>
          <w:top w:val="single" w:sz="4" w:space="1" w:color="auto"/>
          <w:left w:val="single" w:sz="4" w:space="4" w:color="auto"/>
          <w:bottom w:val="single" w:sz="4" w:space="1" w:color="auto"/>
          <w:right w:val="single" w:sz="4" w:space="4" w:color="auto"/>
        </w:pBdr>
        <w:shd w:val="clear" w:color="auto" w:fill="DEEAF6" w:themeFill="accent5" w:themeFillTint="33"/>
        <w:ind w:left="0"/>
        <w:jc w:val="both"/>
        <w:rPr>
          <w:rFonts w:cstheme="minorHAnsi"/>
          <w:b/>
          <w:bCs/>
          <w:sz w:val="20"/>
          <w:szCs w:val="20"/>
        </w:rPr>
      </w:pPr>
    </w:p>
    <w:p w14:paraId="72D6EF71" w14:textId="2810FEED" w:rsidR="001313E3" w:rsidRPr="001313E3" w:rsidRDefault="001313E3" w:rsidP="001313E3">
      <w:pPr>
        <w:pStyle w:val="ListParagraph"/>
        <w:pBdr>
          <w:top w:val="single" w:sz="4" w:space="1" w:color="auto"/>
          <w:left w:val="single" w:sz="4" w:space="4" w:color="auto"/>
          <w:bottom w:val="single" w:sz="4" w:space="1" w:color="auto"/>
          <w:right w:val="single" w:sz="4" w:space="4" w:color="auto"/>
        </w:pBdr>
        <w:shd w:val="clear" w:color="auto" w:fill="DEEAF6" w:themeFill="accent5" w:themeFillTint="33"/>
        <w:ind w:left="0"/>
        <w:jc w:val="both"/>
        <w:rPr>
          <w:rFonts w:eastAsia="Times New Roman" w:cstheme="minorHAnsi"/>
          <w:color w:val="000000" w:themeColor="text1"/>
          <w:sz w:val="20"/>
          <w:szCs w:val="20"/>
        </w:rPr>
      </w:pPr>
      <w:r w:rsidRPr="00A95BB4">
        <w:rPr>
          <w:rFonts w:cstheme="minorHAnsi"/>
          <w:sz w:val="20"/>
          <w:szCs w:val="20"/>
        </w:rPr>
        <w:t>In relation to the COVID-19 pandemic, PMNCH is gathering all partners to advocate together for investments and policies to protect access to essential services for women, children and adolescents. This campaign seeks to mitigate the very real risks of increased mortality and morbidity as a result of fraying health systems, as well as a primary risk for those vulnerable to infection. PMNCH is supporting high-level national, regional and global champions to elevate and amplify campaign asks, including through ‘virtual’ events, social media, the press, parliamentarians, and networks of other high-level influencers. PMNCH is coordinating across constituency groups and through social media partnerships to amplify messages, and to surface up ‘ground-level’ realities, needs, stories and solutions to better target advocacy efforts. PMNCH is grounding its messages in high quality evidence about the effects of the pandemic on women, children and adolescents, and communicating through powerful frames</w:t>
      </w:r>
      <w:r w:rsidR="00896724">
        <w:rPr>
          <w:rFonts w:cstheme="minorHAnsi"/>
          <w:sz w:val="20"/>
          <w:szCs w:val="20"/>
        </w:rPr>
        <w:t xml:space="preserve"> </w:t>
      </w:r>
      <w:r w:rsidRPr="00A95BB4">
        <w:rPr>
          <w:rFonts w:cstheme="minorHAnsi"/>
          <w:sz w:val="20"/>
          <w:szCs w:val="20"/>
        </w:rPr>
        <w:t>– including the need for future pandemic preparedness to safeguard global security. These different levers and resources for action – champions, media, messages, country partnerships – are being deployed simultaneously, in a coordinated fashion in this campaign approach.</w:t>
      </w:r>
    </w:p>
    <w:p w14:paraId="3AACC9BF" w14:textId="77777777" w:rsidR="001313E3" w:rsidRDefault="001313E3" w:rsidP="001313E3">
      <w:pPr>
        <w:pStyle w:val="ListParagraph"/>
        <w:ind w:left="0"/>
        <w:jc w:val="both"/>
        <w:rPr>
          <w:rFonts w:cstheme="minorHAnsi"/>
        </w:rPr>
      </w:pPr>
    </w:p>
    <w:p w14:paraId="7AA7901F" w14:textId="77777777" w:rsidR="001313E3" w:rsidRDefault="001313E3" w:rsidP="003D42C8">
      <w:pPr>
        <w:pStyle w:val="ListParagraph"/>
        <w:ind w:left="0"/>
        <w:jc w:val="both"/>
        <w:rPr>
          <w:rFonts w:cstheme="minorHAnsi"/>
          <w:b/>
          <w:bCs/>
        </w:rPr>
      </w:pPr>
    </w:p>
    <w:p w14:paraId="21BEB3CF" w14:textId="4582A5FD" w:rsidR="00954379" w:rsidRPr="00B067F7" w:rsidRDefault="00954379" w:rsidP="000454DF">
      <w:pPr>
        <w:pStyle w:val="ListParagraph"/>
        <w:pBdr>
          <w:top w:val="single" w:sz="4" w:space="1" w:color="auto"/>
          <w:left w:val="single" w:sz="4" w:space="4" w:color="auto"/>
          <w:bottom w:val="single" w:sz="4" w:space="1" w:color="auto"/>
          <w:right w:val="single" w:sz="4" w:space="4" w:color="auto"/>
        </w:pBdr>
        <w:shd w:val="clear" w:color="auto" w:fill="DEEAF6" w:themeFill="accent5" w:themeFillTint="33"/>
        <w:ind w:left="0"/>
        <w:jc w:val="center"/>
        <w:rPr>
          <w:rFonts w:cstheme="minorHAnsi"/>
          <w:b/>
          <w:bCs/>
          <w:sz w:val="20"/>
          <w:szCs w:val="20"/>
        </w:rPr>
      </w:pPr>
      <w:r w:rsidRPr="00B067F7">
        <w:rPr>
          <w:rFonts w:cstheme="minorHAnsi"/>
          <w:b/>
          <w:bCs/>
          <w:sz w:val="20"/>
          <w:szCs w:val="20"/>
        </w:rPr>
        <w:t xml:space="preserve"> ‘Accountability’: </w:t>
      </w:r>
      <w:r w:rsidR="00420853" w:rsidRPr="00B067F7">
        <w:rPr>
          <w:rFonts w:cstheme="minorHAnsi"/>
          <w:b/>
          <w:bCs/>
          <w:sz w:val="20"/>
          <w:szCs w:val="20"/>
        </w:rPr>
        <w:t>re-describing</w:t>
      </w:r>
      <w:r w:rsidRPr="00B067F7">
        <w:rPr>
          <w:rFonts w:cstheme="minorHAnsi"/>
          <w:b/>
          <w:bCs/>
          <w:sz w:val="20"/>
          <w:szCs w:val="20"/>
        </w:rPr>
        <w:t xml:space="preserve"> PMNCH’s role in the new Strategy period</w:t>
      </w:r>
    </w:p>
    <w:p w14:paraId="1F11F022" w14:textId="77777777" w:rsidR="00954379" w:rsidRPr="00B067F7" w:rsidRDefault="00954379" w:rsidP="000454DF">
      <w:pPr>
        <w:pStyle w:val="ListParagraph"/>
        <w:pBdr>
          <w:top w:val="single" w:sz="4" w:space="1" w:color="auto"/>
          <w:left w:val="single" w:sz="4" w:space="4" w:color="auto"/>
          <w:bottom w:val="single" w:sz="4" w:space="1" w:color="auto"/>
          <w:right w:val="single" w:sz="4" w:space="4" w:color="auto"/>
        </w:pBdr>
        <w:shd w:val="clear" w:color="auto" w:fill="DEEAF6" w:themeFill="accent5" w:themeFillTint="33"/>
        <w:ind w:left="0"/>
        <w:jc w:val="both"/>
        <w:rPr>
          <w:rFonts w:cstheme="minorHAnsi"/>
          <w:b/>
          <w:bCs/>
          <w:sz w:val="20"/>
          <w:szCs w:val="20"/>
        </w:rPr>
      </w:pPr>
    </w:p>
    <w:p w14:paraId="2323CAA2" w14:textId="71150F10" w:rsidR="003D42C8" w:rsidRPr="00B067F7" w:rsidRDefault="00E40B45" w:rsidP="000454DF">
      <w:pPr>
        <w:pStyle w:val="ListParagraph"/>
        <w:pBdr>
          <w:top w:val="single" w:sz="4" w:space="1" w:color="auto"/>
          <w:left w:val="single" w:sz="4" w:space="4" w:color="auto"/>
          <w:bottom w:val="single" w:sz="4" w:space="1" w:color="auto"/>
          <w:right w:val="single" w:sz="4" w:space="4" w:color="auto"/>
        </w:pBdr>
        <w:shd w:val="clear" w:color="auto" w:fill="DEEAF6" w:themeFill="accent5" w:themeFillTint="33"/>
        <w:ind w:left="0"/>
        <w:jc w:val="both"/>
        <w:rPr>
          <w:rFonts w:cstheme="minorHAnsi"/>
          <w:sz w:val="20"/>
          <w:szCs w:val="20"/>
        </w:rPr>
      </w:pPr>
      <w:r w:rsidRPr="00B067F7">
        <w:rPr>
          <w:rFonts w:cstheme="minorHAnsi"/>
          <w:sz w:val="20"/>
          <w:szCs w:val="20"/>
        </w:rPr>
        <w:t xml:space="preserve">Accountability has traditionally been a strong focus of PMNCH’s work. For the coming Strategy period, PMNCH </w:t>
      </w:r>
      <w:r w:rsidR="00B355D4" w:rsidRPr="00B067F7">
        <w:rPr>
          <w:rFonts w:cstheme="minorHAnsi"/>
          <w:sz w:val="20"/>
          <w:szCs w:val="20"/>
        </w:rPr>
        <w:t xml:space="preserve">will </w:t>
      </w:r>
      <w:r w:rsidRPr="00B067F7">
        <w:rPr>
          <w:rFonts w:cstheme="minorHAnsi"/>
          <w:sz w:val="20"/>
          <w:szCs w:val="20"/>
        </w:rPr>
        <w:t xml:space="preserve">pivot its work on Accountability, </w:t>
      </w:r>
      <w:r w:rsidR="00B90556" w:rsidRPr="00B067F7">
        <w:rPr>
          <w:rFonts w:cstheme="minorHAnsi"/>
          <w:sz w:val="20"/>
          <w:szCs w:val="20"/>
        </w:rPr>
        <w:t>reducing its focus on</w:t>
      </w:r>
      <w:r w:rsidRPr="00B067F7">
        <w:rPr>
          <w:rFonts w:cstheme="minorHAnsi"/>
          <w:sz w:val="20"/>
          <w:szCs w:val="20"/>
        </w:rPr>
        <w:t xml:space="preserve"> </w:t>
      </w:r>
      <w:r w:rsidRPr="00B067F7">
        <w:rPr>
          <w:rFonts w:cstheme="minorHAnsi"/>
          <w:i/>
          <w:iCs/>
          <w:sz w:val="20"/>
          <w:szCs w:val="20"/>
        </w:rPr>
        <w:t xml:space="preserve">global accountability </w:t>
      </w:r>
      <w:r w:rsidR="00395F2C" w:rsidRPr="00B067F7">
        <w:rPr>
          <w:rFonts w:cstheme="minorHAnsi"/>
          <w:i/>
          <w:iCs/>
          <w:sz w:val="20"/>
          <w:szCs w:val="20"/>
        </w:rPr>
        <w:t>processe</w:t>
      </w:r>
      <w:r w:rsidRPr="00B067F7">
        <w:rPr>
          <w:rFonts w:cstheme="minorHAnsi"/>
          <w:i/>
          <w:iCs/>
          <w:sz w:val="20"/>
          <w:szCs w:val="20"/>
        </w:rPr>
        <w:t>s</w:t>
      </w:r>
      <w:r w:rsidRPr="00B067F7">
        <w:rPr>
          <w:rFonts w:cstheme="minorHAnsi"/>
          <w:sz w:val="20"/>
          <w:szCs w:val="20"/>
        </w:rPr>
        <w:t xml:space="preserve"> – where others have comparative advantage and a clearer mandate – </w:t>
      </w:r>
      <w:r w:rsidR="00B90556" w:rsidRPr="00B067F7">
        <w:rPr>
          <w:rFonts w:cstheme="minorHAnsi"/>
          <w:sz w:val="20"/>
          <w:szCs w:val="20"/>
        </w:rPr>
        <w:t xml:space="preserve">and shifting </w:t>
      </w:r>
      <w:r w:rsidRPr="00B067F7">
        <w:rPr>
          <w:rFonts w:cstheme="minorHAnsi"/>
          <w:sz w:val="20"/>
          <w:szCs w:val="20"/>
        </w:rPr>
        <w:t xml:space="preserve">more to </w:t>
      </w:r>
      <w:r w:rsidRPr="00B067F7">
        <w:rPr>
          <w:rFonts w:cstheme="minorHAnsi"/>
          <w:i/>
          <w:iCs/>
          <w:sz w:val="20"/>
          <w:szCs w:val="20"/>
        </w:rPr>
        <w:t>empowering partners</w:t>
      </w:r>
      <w:r w:rsidRPr="00B067F7">
        <w:rPr>
          <w:rFonts w:cstheme="minorHAnsi"/>
          <w:sz w:val="20"/>
          <w:szCs w:val="20"/>
        </w:rPr>
        <w:t xml:space="preserve"> to hold governments, donors and others to account</w:t>
      </w:r>
      <w:r w:rsidR="00B90556" w:rsidRPr="00B067F7">
        <w:rPr>
          <w:rFonts w:cstheme="minorHAnsi"/>
          <w:sz w:val="20"/>
          <w:szCs w:val="20"/>
        </w:rPr>
        <w:t xml:space="preserve">, linked to PMNCH’s </w:t>
      </w:r>
      <w:r w:rsidR="001313E3">
        <w:rPr>
          <w:rFonts w:cstheme="minorHAnsi"/>
          <w:sz w:val="20"/>
          <w:szCs w:val="20"/>
        </w:rPr>
        <w:t>core</w:t>
      </w:r>
      <w:r w:rsidR="00B90556" w:rsidRPr="00B067F7">
        <w:rPr>
          <w:rFonts w:cstheme="minorHAnsi"/>
          <w:sz w:val="20"/>
          <w:szCs w:val="20"/>
        </w:rPr>
        <w:t xml:space="preserve"> advocacy fu</w:t>
      </w:r>
      <w:r w:rsidR="001A180F" w:rsidRPr="00B067F7">
        <w:rPr>
          <w:rFonts w:cstheme="minorHAnsi"/>
          <w:sz w:val="20"/>
          <w:szCs w:val="20"/>
        </w:rPr>
        <w:t>n</w:t>
      </w:r>
      <w:r w:rsidR="00B90556" w:rsidRPr="00B067F7">
        <w:rPr>
          <w:rFonts w:cstheme="minorHAnsi"/>
          <w:sz w:val="20"/>
          <w:szCs w:val="20"/>
        </w:rPr>
        <w:t>ction</w:t>
      </w:r>
      <w:r w:rsidRPr="00B067F7">
        <w:rPr>
          <w:rFonts w:cstheme="minorHAnsi"/>
          <w:sz w:val="20"/>
          <w:szCs w:val="20"/>
        </w:rPr>
        <w:t>.</w:t>
      </w:r>
    </w:p>
    <w:p w14:paraId="2E1391DC" w14:textId="77777777" w:rsidR="003D42C8" w:rsidRPr="00B067F7" w:rsidRDefault="003D42C8" w:rsidP="000454DF">
      <w:pPr>
        <w:pStyle w:val="ListParagraph"/>
        <w:pBdr>
          <w:top w:val="single" w:sz="4" w:space="1" w:color="auto"/>
          <w:left w:val="single" w:sz="4" w:space="4" w:color="auto"/>
          <w:bottom w:val="single" w:sz="4" w:space="1" w:color="auto"/>
          <w:right w:val="single" w:sz="4" w:space="4" w:color="auto"/>
        </w:pBdr>
        <w:shd w:val="clear" w:color="auto" w:fill="DEEAF6" w:themeFill="accent5" w:themeFillTint="33"/>
        <w:ind w:left="0"/>
        <w:jc w:val="both"/>
        <w:rPr>
          <w:rFonts w:cstheme="minorHAnsi"/>
          <w:sz w:val="20"/>
          <w:szCs w:val="20"/>
        </w:rPr>
      </w:pPr>
    </w:p>
    <w:p w14:paraId="168F4CE5" w14:textId="17B9D613" w:rsidR="003D42C8" w:rsidRPr="00B067F7" w:rsidRDefault="00E40B45" w:rsidP="000454DF">
      <w:pPr>
        <w:pStyle w:val="ListParagraph"/>
        <w:pBdr>
          <w:top w:val="single" w:sz="4" w:space="1" w:color="auto"/>
          <w:left w:val="single" w:sz="4" w:space="4" w:color="auto"/>
          <w:bottom w:val="single" w:sz="4" w:space="1" w:color="auto"/>
          <w:right w:val="single" w:sz="4" w:space="4" w:color="auto"/>
        </w:pBdr>
        <w:shd w:val="clear" w:color="auto" w:fill="DEEAF6" w:themeFill="accent5" w:themeFillTint="33"/>
        <w:ind w:left="0"/>
        <w:jc w:val="both"/>
        <w:rPr>
          <w:rFonts w:cstheme="minorHAnsi"/>
          <w:color w:val="000000" w:themeColor="text1"/>
          <w:sz w:val="20"/>
          <w:szCs w:val="20"/>
          <w:bdr w:val="none" w:sz="0" w:space="0" w:color="auto" w:frame="1"/>
        </w:rPr>
      </w:pPr>
      <w:r w:rsidRPr="00B067F7">
        <w:rPr>
          <w:rFonts w:cstheme="minorHAnsi"/>
          <w:sz w:val="20"/>
          <w:szCs w:val="20"/>
        </w:rPr>
        <w:t>To reduce PMNCH’s role in global accountability process</w:t>
      </w:r>
      <w:r w:rsidR="008A6538" w:rsidRPr="00B067F7">
        <w:rPr>
          <w:rFonts w:cstheme="minorHAnsi"/>
          <w:sz w:val="20"/>
          <w:szCs w:val="20"/>
        </w:rPr>
        <w:t>es</w:t>
      </w:r>
      <w:r w:rsidRPr="00B067F7">
        <w:rPr>
          <w:rFonts w:cstheme="minorHAnsi"/>
          <w:sz w:val="20"/>
          <w:szCs w:val="20"/>
        </w:rPr>
        <w:t>, PMNCH will: no longer host the Independent Accountability Panel</w:t>
      </w:r>
      <w:r w:rsidR="003D42C8" w:rsidRPr="00B067F7">
        <w:rPr>
          <w:rFonts w:cstheme="minorHAnsi"/>
          <w:sz w:val="20"/>
          <w:szCs w:val="20"/>
        </w:rPr>
        <w:t xml:space="preserve"> (</w:t>
      </w:r>
      <w:r w:rsidRPr="00B067F7">
        <w:rPr>
          <w:rFonts w:cstheme="minorHAnsi"/>
          <w:sz w:val="20"/>
          <w:szCs w:val="20"/>
        </w:rPr>
        <w:t xml:space="preserve">as it </w:t>
      </w:r>
      <w:r w:rsidR="005B3CAF" w:rsidRPr="00B067F7">
        <w:rPr>
          <w:rFonts w:cstheme="minorHAnsi"/>
          <w:sz w:val="20"/>
          <w:szCs w:val="20"/>
        </w:rPr>
        <w:t xml:space="preserve">appears to move towards </w:t>
      </w:r>
      <w:r w:rsidRPr="00B067F7">
        <w:rPr>
          <w:rFonts w:cstheme="minorHAnsi"/>
          <w:sz w:val="20"/>
          <w:szCs w:val="20"/>
        </w:rPr>
        <w:t>a UHC mandate broader than WCAH</w:t>
      </w:r>
      <w:r w:rsidR="003D42C8" w:rsidRPr="00B067F7">
        <w:rPr>
          <w:rFonts w:cstheme="minorHAnsi"/>
          <w:sz w:val="20"/>
          <w:szCs w:val="20"/>
        </w:rPr>
        <w:t>)</w:t>
      </w:r>
      <w:r w:rsidRPr="00B067F7">
        <w:rPr>
          <w:rFonts w:cstheme="minorHAnsi"/>
          <w:sz w:val="20"/>
          <w:szCs w:val="20"/>
        </w:rPr>
        <w:t xml:space="preserve">; </w:t>
      </w:r>
      <w:r w:rsidRPr="00B067F7">
        <w:rPr>
          <w:rFonts w:eastAsia="Times New Roman" w:cstheme="minorHAnsi"/>
          <w:color w:val="000000" w:themeColor="text1"/>
          <w:sz w:val="20"/>
          <w:szCs w:val="20"/>
        </w:rPr>
        <w:t>no longer co-chair the Finance Tracking Working Group with Countdown</w:t>
      </w:r>
      <w:r w:rsidR="003D42C8" w:rsidRPr="00B067F7">
        <w:rPr>
          <w:rFonts w:eastAsia="Times New Roman" w:cstheme="minorHAnsi"/>
          <w:color w:val="000000" w:themeColor="text1"/>
          <w:sz w:val="20"/>
          <w:szCs w:val="20"/>
        </w:rPr>
        <w:t>,</w:t>
      </w:r>
      <w:r w:rsidRPr="00B067F7">
        <w:rPr>
          <w:rFonts w:eastAsia="Times New Roman" w:cstheme="minorHAnsi"/>
          <w:color w:val="000000" w:themeColor="text1"/>
          <w:sz w:val="20"/>
          <w:szCs w:val="20"/>
        </w:rPr>
        <w:t xml:space="preserve"> nor provide funds to conduct health financing analysis and tracking</w:t>
      </w:r>
      <w:r w:rsidR="003D42C8" w:rsidRPr="00B067F7">
        <w:rPr>
          <w:rFonts w:eastAsia="Times New Roman" w:cstheme="minorHAnsi"/>
          <w:color w:val="000000" w:themeColor="text1"/>
          <w:sz w:val="20"/>
          <w:szCs w:val="20"/>
        </w:rPr>
        <w:t xml:space="preserve"> (others such as the World Bank, WHO and GFF are better suited to this role); </w:t>
      </w:r>
      <w:r w:rsidR="007332DD" w:rsidRPr="002406DF">
        <w:rPr>
          <w:rFonts w:eastAsia="Times New Roman" w:cstheme="minorHAnsi"/>
          <w:color w:val="000000" w:themeColor="text1"/>
          <w:sz w:val="20"/>
          <w:szCs w:val="20"/>
        </w:rPr>
        <w:t xml:space="preserve">no longer support estimates for ODA </w:t>
      </w:r>
      <w:r w:rsidR="007332DD">
        <w:rPr>
          <w:rFonts w:eastAsia="Times New Roman" w:cstheme="minorHAnsi"/>
          <w:color w:val="000000" w:themeColor="text1"/>
          <w:sz w:val="20"/>
          <w:szCs w:val="20"/>
        </w:rPr>
        <w:t xml:space="preserve">(others such as OECD DAC and OECD member countries should take on this role); </w:t>
      </w:r>
      <w:r w:rsidR="003D42C8" w:rsidRPr="00B067F7">
        <w:rPr>
          <w:rFonts w:eastAsia="Times New Roman" w:cstheme="minorHAnsi"/>
          <w:color w:val="000000" w:themeColor="text1"/>
          <w:sz w:val="20"/>
          <w:szCs w:val="20"/>
        </w:rPr>
        <w:t>no longer conduct annual</w:t>
      </w:r>
      <w:r w:rsidRPr="00B067F7">
        <w:rPr>
          <w:rFonts w:cstheme="minorHAnsi"/>
          <w:color w:val="000000" w:themeColor="text1"/>
          <w:sz w:val="20"/>
          <w:szCs w:val="20"/>
          <w:bdr w:val="none" w:sz="0" w:space="0" w:color="auto" w:frame="1"/>
        </w:rPr>
        <w:t xml:space="preserve"> EWEC Commitment Progress Tracking</w:t>
      </w:r>
      <w:r w:rsidR="003D42C8" w:rsidRPr="00B067F7">
        <w:rPr>
          <w:rFonts w:cstheme="minorHAnsi"/>
          <w:color w:val="000000" w:themeColor="text1"/>
          <w:sz w:val="20"/>
          <w:szCs w:val="20"/>
          <w:bdr w:val="none" w:sz="0" w:space="0" w:color="auto" w:frame="1"/>
        </w:rPr>
        <w:t xml:space="preserve"> (EOSG</w:t>
      </w:r>
      <w:r w:rsidR="00FC569A" w:rsidRPr="00B067F7">
        <w:rPr>
          <w:rFonts w:cstheme="minorHAnsi"/>
          <w:color w:val="000000" w:themeColor="text1"/>
          <w:sz w:val="20"/>
          <w:szCs w:val="20"/>
          <w:bdr w:val="none" w:sz="0" w:space="0" w:color="auto" w:frame="1"/>
        </w:rPr>
        <w:t>/EWEC Secretariat</w:t>
      </w:r>
      <w:r w:rsidR="003D42C8" w:rsidRPr="00B067F7">
        <w:rPr>
          <w:rFonts w:cstheme="minorHAnsi"/>
          <w:color w:val="000000" w:themeColor="text1"/>
          <w:sz w:val="20"/>
          <w:szCs w:val="20"/>
          <w:bdr w:val="none" w:sz="0" w:space="0" w:color="auto" w:frame="1"/>
        </w:rPr>
        <w:t xml:space="preserve"> </w:t>
      </w:r>
      <w:r w:rsidR="00FC569A" w:rsidRPr="00B067F7">
        <w:rPr>
          <w:rFonts w:cstheme="minorHAnsi"/>
          <w:color w:val="000000" w:themeColor="text1"/>
          <w:sz w:val="20"/>
          <w:szCs w:val="20"/>
          <w:bdr w:val="none" w:sz="0" w:space="0" w:color="auto" w:frame="1"/>
        </w:rPr>
        <w:t>will continue to record commitments, which is key for advocacy</w:t>
      </w:r>
      <w:r w:rsidR="003D42C8" w:rsidRPr="00B067F7">
        <w:rPr>
          <w:rFonts w:cstheme="minorHAnsi"/>
          <w:color w:val="000000" w:themeColor="text1"/>
          <w:sz w:val="20"/>
          <w:szCs w:val="20"/>
          <w:bdr w:val="none" w:sz="0" w:space="0" w:color="auto" w:frame="1"/>
        </w:rPr>
        <w:t xml:space="preserve">). </w:t>
      </w:r>
      <w:r w:rsidR="005B3CAF" w:rsidRPr="00B067F7">
        <w:rPr>
          <w:rFonts w:cstheme="minorHAnsi"/>
          <w:color w:val="000000" w:themeColor="text1"/>
          <w:sz w:val="20"/>
          <w:szCs w:val="20"/>
          <w:bdr w:val="none" w:sz="0" w:space="0" w:color="auto" w:frame="1"/>
        </w:rPr>
        <w:t>PMNCH will continue to work with some global</w:t>
      </w:r>
      <w:r w:rsidR="00773B84">
        <w:rPr>
          <w:rFonts w:cstheme="minorHAnsi"/>
          <w:color w:val="000000" w:themeColor="text1"/>
          <w:sz w:val="20"/>
          <w:szCs w:val="20"/>
          <w:bdr w:val="none" w:sz="0" w:space="0" w:color="auto" w:frame="1"/>
        </w:rPr>
        <w:t xml:space="preserve"> accountability</w:t>
      </w:r>
      <w:r w:rsidR="005B3CAF" w:rsidRPr="00B067F7">
        <w:rPr>
          <w:rFonts w:cstheme="minorHAnsi"/>
          <w:color w:val="000000" w:themeColor="text1"/>
          <w:sz w:val="20"/>
          <w:szCs w:val="20"/>
          <w:bdr w:val="none" w:sz="0" w:space="0" w:color="auto" w:frame="1"/>
        </w:rPr>
        <w:t xml:space="preserve"> processes, in</w:t>
      </w:r>
      <w:r w:rsidR="00773B84">
        <w:rPr>
          <w:rFonts w:cstheme="minorHAnsi"/>
          <w:color w:val="000000" w:themeColor="text1"/>
          <w:sz w:val="20"/>
          <w:szCs w:val="20"/>
          <w:bdr w:val="none" w:sz="0" w:space="0" w:color="auto" w:frame="1"/>
        </w:rPr>
        <w:t>clu</w:t>
      </w:r>
      <w:r w:rsidR="005B3CAF" w:rsidRPr="00B067F7">
        <w:rPr>
          <w:rFonts w:cstheme="minorHAnsi"/>
          <w:color w:val="000000" w:themeColor="text1"/>
          <w:sz w:val="20"/>
          <w:szCs w:val="20"/>
          <w:bdr w:val="none" w:sz="0" w:space="0" w:color="auto" w:frame="1"/>
        </w:rPr>
        <w:t>ding working with Countdown to 2030</w:t>
      </w:r>
      <w:r w:rsidR="007332DD">
        <w:rPr>
          <w:rFonts w:cstheme="minorHAnsi"/>
          <w:color w:val="000000" w:themeColor="text1"/>
          <w:sz w:val="20"/>
          <w:szCs w:val="20"/>
          <w:bdr w:val="none" w:sz="0" w:space="0" w:color="auto" w:frame="1"/>
        </w:rPr>
        <w:t>, UNICEF</w:t>
      </w:r>
      <w:r w:rsidR="005B3CAF" w:rsidRPr="00B067F7">
        <w:rPr>
          <w:rFonts w:cstheme="minorHAnsi"/>
          <w:color w:val="000000" w:themeColor="text1"/>
          <w:sz w:val="20"/>
          <w:szCs w:val="20"/>
          <w:bdr w:val="none" w:sz="0" w:space="0" w:color="auto" w:frame="1"/>
        </w:rPr>
        <w:t xml:space="preserve"> and WHO on progress monitoring</w:t>
      </w:r>
      <w:r w:rsidR="007332DD">
        <w:rPr>
          <w:rFonts w:cstheme="minorHAnsi"/>
          <w:color w:val="000000" w:themeColor="text1"/>
          <w:sz w:val="20"/>
          <w:szCs w:val="20"/>
          <w:bdr w:val="none" w:sz="0" w:space="0" w:color="auto" w:frame="1"/>
        </w:rPr>
        <w:t xml:space="preserve"> and reporting</w:t>
      </w:r>
      <w:r w:rsidR="005B3CAF" w:rsidRPr="00B067F7">
        <w:rPr>
          <w:rFonts w:cstheme="minorHAnsi"/>
          <w:color w:val="000000" w:themeColor="text1"/>
          <w:sz w:val="20"/>
          <w:szCs w:val="20"/>
          <w:bdr w:val="none" w:sz="0" w:space="0" w:color="auto" w:frame="1"/>
        </w:rPr>
        <w:t>.</w:t>
      </w:r>
    </w:p>
    <w:p w14:paraId="2B54D316" w14:textId="77777777" w:rsidR="003D42C8" w:rsidRPr="00B067F7" w:rsidRDefault="003D42C8" w:rsidP="000454DF">
      <w:pPr>
        <w:pStyle w:val="ListParagraph"/>
        <w:pBdr>
          <w:top w:val="single" w:sz="4" w:space="1" w:color="auto"/>
          <w:left w:val="single" w:sz="4" w:space="4" w:color="auto"/>
          <w:bottom w:val="single" w:sz="4" w:space="1" w:color="auto"/>
          <w:right w:val="single" w:sz="4" w:space="4" w:color="auto"/>
        </w:pBdr>
        <w:shd w:val="clear" w:color="auto" w:fill="DEEAF6" w:themeFill="accent5" w:themeFillTint="33"/>
        <w:ind w:left="0"/>
        <w:jc w:val="both"/>
        <w:rPr>
          <w:rFonts w:cstheme="minorHAnsi"/>
          <w:color w:val="000000" w:themeColor="text1"/>
          <w:sz w:val="20"/>
          <w:szCs w:val="20"/>
          <w:bdr w:val="none" w:sz="0" w:space="0" w:color="auto" w:frame="1"/>
        </w:rPr>
      </w:pPr>
    </w:p>
    <w:p w14:paraId="151C775C" w14:textId="32D19930" w:rsidR="00E40B45" w:rsidRPr="00B067F7" w:rsidRDefault="003D42C8" w:rsidP="000454DF">
      <w:pPr>
        <w:pStyle w:val="ListParagraph"/>
        <w:pBdr>
          <w:top w:val="single" w:sz="4" w:space="1" w:color="auto"/>
          <w:left w:val="single" w:sz="4" w:space="4" w:color="auto"/>
          <w:bottom w:val="single" w:sz="4" w:space="1" w:color="auto"/>
          <w:right w:val="single" w:sz="4" w:space="4" w:color="auto"/>
        </w:pBdr>
        <w:shd w:val="clear" w:color="auto" w:fill="DEEAF6" w:themeFill="accent5" w:themeFillTint="33"/>
        <w:ind w:left="0"/>
        <w:jc w:val="both"/>
        <w:rPr>
          <w:rFonts w:eastAsia="Times New Roman" w:cstheme="minorHAnsi"/>
          <w:color w:val="000000" w:themeColor="text1"/>
          <w:sz w:val="20"/>
          <w:szCs w:val="20"/>
        </w:rPr>
      </w:pPr>
      <w:r w:rsidRPr="00B067F7">
        <w:rPr>
          <w:rFonts w:cstheme="minorHAnsi"/>
          <w:color w:val="000000" w:themeColor="text1"/>
          <w:sz w:val="20"/>
          <w:szCs w:val="20"/>
          <w:bdr w:val="none" w:sz="0" w:space="0" w:color="auto" w:frame="1"/>
        </w:rPr>
        <w:t>PMNCH will increase its focus on: m</w:t>
      </w:r>
      <w:r w:rsidRPr="00B067F7">
        <w:rPr>
          <w:rFonts w:eastAsia="Calibri" w:cstheme="minorHAnsi"/>
          <w:sz w:val="20"/>
          <w:szCs w:val="20"/>
        </w:rPr>
        <w:t xml:space="preserve">aking </w:t>
      </w:r>
      <w:r w:rsidR="007332DD">
        <w:rPr>
          <w:rFonts w:eastAsia="Calibri" w:cstheme="minorHAnsi"/>
          <w:sz w:val="20"/>
          <w:szCs w:val="20"/>
        </w:rPr>
        <w:t xml:space="preserve">resources such as </w:t>
      </w:r>
      <w:r w:rsidRPr="00B067F7">
        <w:rPr>
          <w:rFonts w:eastAsia="Calibri" w:cstheme="minorHAnsi"/>
          <w:sz w:val="20"/>
          <w:szCs w:val="20"/>
        </w:rPr>
        <w:t xml:space="preserve">guidance tools, </w:t>
      </w:r>
      <w:r w:rsidR="007332DD">
        <w:rPr>
          <w:rFonts w:eastAsia="Calibri" w:cstheme="minorHAnsi"/>
          <w:sz w:val="20"/>
          <w:szCs w:val="20"/>
        </w:rPr>
        <w:t xml:space="preserve">data visualization tools </w:t>
      </w:r>
      <w:r w:rsidRPr="00B067F7">
        <w:rPr>
          <w:rFonts w:eastAsia="Calibri" w:cstheme="minorHAnsi"/>
          <w:sz w:val="20"/>
          <w:szCs w:val="20"/>
        </w:rPr>
        <w:t>and case studies available to strengthen partner capacity</w:t>
      </w:r>
      <w:r w:rsidR="00B355D4" w:rsidRPr="00B067F7">
        <w:rPr>
          <w:rFonts w:eastAsia="Calibri" w:cstheme="minorHAnsi"/>
          <w:sz w:val="20"/>
          <w:szCs w:val="20"/>
        </w:rPr>
        <w:t xml:space="preserve"> for</w:t>
      </w:r>
      <w:r w:rsidRPr="00B067F7">
        <w:rPr>
          <w:rFonts w:eastAsia="Calibri" w:cstheme="minorHAnsi"/>
          <w:sz w:val="20"/>
          <w:szCs w:val="20"/>
        </w:rPr>
        <w:t xml:space="preserve"> accountability; </w:t>
      </w:r>
      <w:r w:rsidR="007332DD">
        <w:rPr>
          <w:rFonts w:eastAsia="Calibri" w:cstheme="minorHAnsi"/>
          <w:sz w:val="20"/>
          <w:szCs w:val="20"/>
        </w:rPr>
        <w:t>s</w:t>
      </w:r>
      <w:r w:rsidR="007332DD" w:rsidRPr="002406DF">
        <w:rPr>
          <w:rFonts w:eastAsia="Calibri" w:cstheme="minorHAnsi"/>
          <w:sz w:val="20"/>
          <w:szCs w:val="20"/>
        </w:rPr>
        <w:t xml:space="preserve">ocial accountability to support </w:t>
      </w:r>
      <w:r w:rsidR="007332DD">
        <w:rPr>
          <w:rFonts w:eastAsia="Calibri" w:cstheme="minorHAnsi"/>
          <w:sz w:val="20"/>
          <w:szCs w:val="20"/>
        </w:rPr>
        <w:t xml:space="preserve">the </w:t>
      </w:r>
      <w:r w:rsidR="007332DD" w:rsidRPr="002406DF">
        <w:rPr>
          <w:rFonts w:eastAsia="Calibri" w:cstheme="minorHAnsi"/>
          <w:sz w:val="20"/>
          <w:szCs w:val="20"/>
        </w:rPr>
        <w:t>capacity</w:t>
      </w:r>
      <w:r w:rsidR="007332DD">
        <w:rPr>
          <w:rFonts w:eastAsia="Calibri" w:cstheme="minorHAnsi"/>
          <w:sz w:val="20"/>
          <w:szCs w:val="20"/>
        </w:rPr>
        <w:t xml:space="preserve"> of </w:t>
      </w:r>
      <w:r w:rsidR="007332DD" w:rsidRPr="00B067F7">
        <w:rPr>
          <w:rFonts w:eastAsia="Calibri" w:cstheme="minorHAnsi"/>
          <w:sz w:val="20"/>
          <w:szCs w:val="20"/>
        </w:rPr>
        <w:t>traditional accountability actors like media and parliamentarians</w:t>
      </w:r>
      <w:r w:rsidRPr="00B067F7">
        <w:rPr>
          <w:rFonts w:eastAsia="Calibri" w:cstheme="minorHAnsi"/>
          <w:sz w:val="20"/>
          <w:szCs w:val="20"/>
        </w:rPr>
        <w:t xml:space="preserve"> to hold governments and others to account</w:t>
      </w:r>
      <w:r w:rsidR="00FA4A09" w:rsidRPr="00B067F7">
        <w:rPr>
          <w:rFonts w:eastAsia="Calibri" w:cstheme="minorHAnsi"/>
          <w:sz w:val="20"/>
          <w:szCs w:val="20"/>
        </w:rPr>
        <w:t xml:space="preserve">; and </w:t>
      </w:r>
      <w:r w:rsidRPr="00B067F7">
        <w:rPr>
          <w:rFonts w:eastAsia="Calibri" w:cstheme="minorHAnsi"/>
          <w:sz w:val="20"/>
          <w:szCs w:val="20"/>
          <w:shd w:val="clear" w:color="auto" w:fill="DEEAF6" w:themeFill="accent5" w:themeFillTint="33"/>
        </w:rPr>
        <w:t>s</w:t>
      </w:r>
      <w:r w:rsidRPr="00B067F7">
        <w:rPr>
          <w:rFonts w:cstheme="minorHAnsi"/>
          <w:color w:val="000000"/>
          <w:sz w:val="20"/>
          <w:szCs w:val="20"/>
          <w:bdr w:val="none" w:sz="0" w:space="0" w:color="auto" w:frame="1"/>
          <w:shd w:val="clear" w:color="auto" w:fill="DEEAF6" w:themeFill="accent5" w:themeFillTint="33"/>
        </w:rPr>
        <w:t>trengthening mutual accountability between partners and countries.</w:t>
      </w:r>
    </w:p>
    <w:p w14:paraId="3081788E" w14:textId="4C3FDD71" w:rsidR="00E40B45" w:rsidRDefault="00E40B45" w:rsidP="00E40B45">
      <w:pPr>
        <w:pStyle w:val="ListParagraph"/>
        <w:ind w:left="0"/>
        <w:jc w:val="both"/>
        <w:rPr>
          <w:rFonts w:cstheme="minorHAnsi"/>
        </w:rPr>
      </w:pPr>
    </w:p>
    <w:p w14:paraId="3DCDA5B3" w14:textId="77777777" w:rsidR="00947148" w:rsidRDefault="00947148" w:rsidP="00B067F7">
      <w:pPr>
        <w:jc w:val="both"/>
        <w:rPr>
          <w:rFonts w:cstheme="minorHAnsi"/>
          <w:b/>
          <w:bCs/>
          <w:color w:val="2F5496" w:themeColor="accent1" w:themeShade="BF"/>
        </w:rPr>
      </w:pPr>
    </w:p>
    <w:p w14:paraId="01AED66E" w14:textId="77777777" w:rsidR="00EE509B" w:rsidRDefault="00EE509B" w:rsidP="00B067F7">
      <w:pPr>
        <w:jc w:val="both"/>
        <w:rPr>
          <w:rFonts w:cstheme="minorHAnsi"/>
          <w:b/>
          <w:bCs/>
          <w:color w:val="2F5496" w:themeColor="accent1" w:themeShade="BF"/>
        </w:rPr>
      </w:pPr>
    </w:p>
    <w:p w14:paraId="5BE41D1E" w14:textId="77777777" w:rsidR="00EE509B" w:rsidRDefault="00EE509B" w:rsidP="00B067F7">
      <w:pPr>
        <w:jc w:val="both"/>
        <w:rPr>
          <w:rFonts w:cstheme="minorHAnsi"/>
          <w:b/>
          <w:bCs/>
          <w:color w:val="2F5496" w:themeColor="accent1" w:themeShade="BF"/>
        </w:rPr>
      </w:pPr>
    </w:p>
    <w:p w14:paraId="36ADB9F6" w14:textId="77777777" w:rsidR="00EE509B" w:rsidRDefault="00EE509B" w:rsidP="00B067F7">
      <w:pPr>
        <w:jc w:val="both"/>
        <w:rPr>
          <w:rFonts w:cstheme="minorHAnsi"/>
          <w:b/>
          <w:bCs/>
          <w:color w:val="2F5496" w:themeColor="accent1" w:themeShade="BF"/>
        </w:rPr>
      </w:pPr>
    </w:p>
    <w:p w14:paraId="138327DA" w14:textId="77777777" w:rsidR="00EE509B" w:rsidRDefault="00EE509B" w:rsidP="00B067F7">
      <w:pPr>
        <w:jc w:val="both"/>
        <w:rPr>
          <w:rFonts w:cstheme="minorHAnsi"/>
          <w:b/>
          <w:bCs/>
          <w:color w:val="2F5496" w:themeColor="accent1" w:themeShade="BF"/>
        </w:rPr>
      </w:pPr>
    </w:p>
    <w:p w14:paraId="4C65E48C" w14:textId="41C3E709" w:rsidR="00B067F7" w:rsidRDefault="00B067F7" w:rsidP="00B067F7">
      <w:pPr>
        <w:jc w:val="both"/>
        <w:rPr>
          <w:rFonts w:cstheme="minorHAnsi"/>
          <w:b/>
          <w:bCs/>
          <w:color w:val="2F5496" w:themeColor="accent1" w:themeShade="BF"/>
        </w:rPr>
      </w:pPr>
      <w:r>
        <w:rPr>
          <w:rFonts w:cstheme="minorHAnsi"/>
          <w:b/>
          <w:bCs/>
          <w:color w:val="2F5496" w:themeColor="accent1" w:themeShade="BF"/>
        </w:rPr>
        <w:t>Partner Engagement</w:t>
      </w:r>
    </w:p>
    <w:p w14:paraId="57DCCB08" w14:textId="77777777" w:rsidR="00B067F7" w:rsidRDefault="00B067F7" w:rsidP="00B067F7">
      <w:pPr>
        <w:contextualSpacing/>
        <w:jc w:val="both"/>
        <w:rPr>
          <w:rFonts w:cstheme="minorHAnsi"/>
        </w:rPr>
      </w:pPr>
    </w:p>
    <w:p w14:paraId="2E54220D" w14:textId="19F102F4" w:rsidR="00C9449E" w:rsidRPr="00A95BB4" w:rsidRDefault="00B9300B" w:rsidP="00B9300B">
      <w:pPr>
        <w:jc w:val="both"/>
        <w:rPr>
          <w:rFonts w:cstheme="minorHAnsi"/>
          <w:b/>
          <w:bCs/>
          <w:shd w:val="clear" w:color="auto" w:fill="FFFFFF"/>
        </w:rPr>
      </w:pPr>
      <w:r w:rsidRPr="00A95BB4">
        <w:rPr>
          <w:rFonts w:cstheme="minorHAnsi"/>
          <w:shd w:val="clear" w:color="auto" w:fill="FFFFFF"/>
        </w:rPr>
        <w:t xml:space="preserve">PMNCH’s value proposition lies in the </w:t>
      </w:r>
      <w:r w:rsidR="00C02240">
        <w:rPr>
          <w:rFonts w:cstheme="minorHAnsi"/>
          <w:shd w:val="clear" w:color="auto" w:fill="FFFFFF"/>
        </w:rPr>
        <w:t>P</w:t>
      </w:r>
      <w:r w:rsidRPr="00A95BB4">
        <w:rPr>
          <w:rFonts w:cstheme="minorHAnsi"/>
          <w:shd w:val="clear" w:color="auto" w:fill="FFFFFF"/>
        </w:rPr>
        <w:t>artnership being the world’s largest alliance for women’s, children’s and adolescents’ health and well-being. It provides a platform for organisations to align objectives, strategies and resources, and to advocate for and deliver interventions to improve</w:t>
      </w:r>
      <w:r w:rsidRPr="00A95BB4">
        <w:rPr>
          <w:rFonts w:cstheme="minorHAnsi"/>
          <w:b/>
          <w:bCs/>
          <w:shd w:val="clear" w:color="auto" w:fill="FFFFFF"/>
        </w:rPr>
        <w:t xml:space="preserve"> </w:t>
      </w:r>
      <w:r w:rsidR="00C02240" w:rsidRPr="00A95BB4">
        <w:rPr>
          <w:rFonts w:cstheme="minorHAnsi"/>
          <w:shd w:val="clear" w:color="auto" w:fill="FFFFFF"/>
        </w:rPr>
        <w:t>women’s, children’s and adolescents’ health and well-being</w:t>
      </w:r>
      <w:r w:rsidRPr="00A95BB4">
        <w:rPr>
          <w:rFonts w:cstheme="minorHAnsi"/>
          <w:b/>
          <w:bCs/>
          <w:shd w:val="clear" w:color="auto" w:fill="FFFFFF"/>
        </w:rPr>
        <w:t>.</w:t>
      </w:r>
    </w:p>
    <w:p w14:paraId="7C271D2A" w14:textId="77777777" w:rsidR="00C9449E" w:rsidRPr="00A95BB4" w:rsidRDefault="00C9449E" w:rsidP="00B9300B">
      <w:pPr>
        <w:jc w:val="both"/>
        <w:rPr>
          <w:rFonts w:cstheme="minorHAnsi"/>
          <w:b/>
          <w:bCs/>
          <w:shd w:val="clear" w:color="auto" w:fill="FFFFFF"/>
        </w:rPr>
      </w:pPr>
    </w:p>
    <w:p w14:paraId="5E379499" w14:textId="07DB624F" w:rsidR="00B9300B" w:rsidRDefault="00B9300B" w:rsidP="00B9300B">
      <w:pPr>
        <w:jc w:val="both"/>
        <w:rPr>
          <w:rFonts w:cstheme="minorHAnsi"/>
        </w:rPr>
      </w:pPr>
      <w:r w:rsidRPr="00A95BB4">
        <w:rPr>
          <w:rFonts w:cstheme="minorHAnsi"/>
        </w:rPr>
        <w:t>PMNCH partner engagement – including support to partners engaging directly at the country level – will be mainly through the mutually reinforcing mechanisms</w:t>
      </w:r>
      <w:r w:rsidR="00C9449E" w:rsidRPr="00A95BB4">
        <w:rPr>
          <w:rFonts w:cstheme="minorHAnsi"/>
        </w:rPr>
        <w:t xml:space="preserve"> listed below. </w:t>
      </w:r>
      <w:r w:rsidR="00947148">
        <w:rPr>
          <w:rFonts w:cstheme="minorHAnsi"/>
        </w:rPr>
        <w:t>PMNCH</w:t>
      </w:r>
      <w:r w:rsidR="00947148" w:rsidRPr="00A95BB4">
        <w:rPr>
          <w:rFonts w:cstheme="minorHAnsi"/>
        </w:rPr>
        <w:t xml:space="preserve"> </w:t>
      </w:r>
      <w:r w:rsidR="00C9449E" w:rsidRPr="00A95BB4">
        <w:rPr>
          <w:rFonts w:cstheme="minorHAnsi"/>
        </w:rPr>
        <w:t>wi</w:t>
      </w:r>
      <w:r w:rsidR="00947148">
        <w:rPr>
          <w:rFonts w:cstheme="minorHAnsi"/>
        </w:rPr>
        <w:t>l</w:t>
      </w:r>
      <w:r w:rsidR="00C9449E" w:rsidRPr="00A95BB4">
        <w:rPr>
          <w:rFonts w:cstheme="minorHAnsi"/>
        </w:rPr>
        <w:t xml:space="preserve">l particularly accelerate the implementation of </w:t>
      </w:r>
      <w:r w:rsidR="00947148">
        <w:rPr>
          <w:rFonts w:cstheme="minorHAnsi"/>
        </w:rPr>
        <w:t>the</w:t>
      </w:r>
      <w:r w:rsidR="00947148" w:rsidRPr="00A95BB4">
        <w:rPr>
          <w:rFonts w:cstheme="minorHAnsi"/>
        </w:rPr>
        <w:t xml:space="preserve"> </w:t>
      </w:r>
      <w:r w:rsidR="00C9449E" w:rsidRPr="00A95BB4">
        <w:rPr>
          <w:rFonts w:cstheme="minorHAnsi"/>
        </w:rPr>
        <w:t>digital strategy as the key enabler of PMNCH partner en</w:t>
      </w:r>
      <w:r w:rsidR="00C02240">
        <w:rPr>
          <w:rFonts w:cstheme="minorHAnsi"/>
        </w:rPr>
        <w:t>g</w:t>
      </w:r>
      <w:r w:rsidR="00C9449E" w:rsidRPr="00A95BB4">
        <w:rPr>
          <w:rFonts w:cstheme="minorHAnsi"/>
        </w:rPr>
        <w:t>agement.</w:t>
      </w:r>
    </w:p>
    <w:p w14:paraId="30F89982" w14:textId="77777777" w:rsidR="00B9300B" w:rsidRPr="0056665D" w:rsidRDefault="00B9300B" w:rsidP="00B067F7">
      <w:pPr>
        <w:jc w:val="both"/>
        <w:rPr>
          <w:rFonts w:cstheme="minorHAnsi"/>
        </w:rPr>
      </w:pPr>
    </w:p>
    <w:p w14:paraId="13363397" w14:textId="2F1083B8" w:rsidR="00B067F7" w:rsidRPr="00A95BB4" w:rsidRDefault="00B067F7" w:rsidP="00B067F7">
      <w:pPr>
        <w:pStyle w:val="ListParagraph"/>
        <w:numPr>
          <w:ilvl w:val="0"/>
          <w:numId w:val="25"/>
        </w:numPr>
        <w:ind w:hanging="219"/>
        <w:jc w:val="both"/>
        <w:rPr>
          <w:rFonts w:cstheme="minorHAnsi"/>
        </w:rPr>
      </w:pPr>
      <w:r w:rsidRPr="00020309">
        <w:rPr>
          <w:rFonts w:cstheme="minorHAnsi"/>
          <w:b/>
          <w:bCs/>
        </w:rPr>
        <w:t xml:space="preserve">Maximising the full engagement of all members through the </w:t>
      </w:r>
      <w:r w:rsidR="00020309" w:rsidRPr="00020309">
        <w:rPr>
          <w:rFonts w:cstheme="minorHAnsi"/>
          <w:b/>
          <w:bCs/>
        </w:rPr>
        <w:t>Constituency structure</w:t>
      </w:r>
      <w:r w:rsidR="00020309">
        <w:rPr>
          <w:rFonts w:cstheme="minorHAnsi"/>
        </w:rPr>
        <w:t xml:space="preserve">: we will </w:t>
      </w:r>
      <w:r w:rsidR="00937F8E">
        <w:rPr>
          <w:rFonts w:cstheme="minorHAnsi"/>
        </w:rPr>
        <w:t>leverage</w:t>
      </w:r>
      <w:r w:rsidR="00020309">
        <w:rPr>
          <w:rFonts w:cstheme="minorHAnsi"/>
        </w:rPr>
        <w:t xml:space="preserve"> our Constituency structure, which enables us to: (</w:t>
      </w:r>
      <w:proofErr w:type="spellStart"/>
      <w:r w:rsidR="00020309">
        <w:rPr>
          <w:rFonts w:cstheme="minorHAnsi"/>
        </w:rPr>
        <w:t>i</w:t>
      </w:r>
      <w:proofErr w:type="spellEnd"/>
      <w:r w:rsidR="00020309">
        <w:rPr>
          <w:rFonts w:cstheme="minorHAnsi"/>
        </w:rPr>
        <w:t xml:space="preserve">) maximise the aggregating power of </w:t>
      </w:r>
      <w:r w:rsidR="00937F8E">
        <w:rPr>
          <w:rFonts w:cstheme="minorHAnsi"/>
        </w:rPr>
        <w:t>C</w:t>
      </w:r>
      <w:r w:rsidR="00020309">
        <w:rPr>
          <w:rFonts w:cstheme="minorHAnsi"/>
        </w:rPr>
        <w:t>onstituency group</w:t>
      </w:r>
      <w:r w:rsidR="00937F8E">
        <w:rPr>
          <w:rFonts w:cstheme="minorHAnsi"/>
        </w:rPr>
        <w:t>ing</w:t>
      </w:r>
      <w:r w:rsidR="00020309">
        <w:rPr>
          <w:rFonts w:cstheme="minorHAnsi"/>
        </w:rPr>
        <w:t xml:space="preserve">s, (ii) </w:t>
      </w:r>
      <w:r w:rsidR="00937F8E">
        <w:rPr>
          <w:rFonts w:cstheme="minorHAnsi"/>
        </w:rPr>
        <w:t xml:space="preserve">bring different </w:t>
      </w:r>
      <w:r w:rsidR="00020309">
        <w:rPr>
          <w:rFonts w:cstheme="minorHAnsi"/>
        </w:rPr>
        <w:t>Cons</w:t>
      </w:r>
      <w:r w:rsidR="00C02240">
        <w:rPr>
          <w:rFonts w:cstheme="minorHAnsi"/>
        </w:rPr>
        <w:t>t</w:t>
      </w:r>
      <w:r w:rsidR="00020309">
        <w:rPr>
          <w:rFonts w:cstheme="minorHAnsi"/>
        </w:rPr>
        <w:t>ituenc</w:t>
      </w:r>
      <w:r w:rsidR="00937F8E">
        <w:rPr>
          <w:rFonts w:cstheme="minorHAnsi"/>
        </w:rPr>
        <w:t>ies together</w:t>
      </w:r>
      <w:r w:rsidR="001F5FAB">
        <w:rPr>
          <w:rFonts w:cstheme="minorHAnsi"/>
        </w:rPr>
        <w:t xml:space="preserve"> with each other</w:t>
      </w:r>
      <w:r w:rsidR="00937F8E">
        <w:rPr>
          <w:rFonts w:cstheme="minorHAnsi"/>
        </w:rPr>
        <w:t xml:space="preserve">, including those under-represented in global health governance (e.g. Health Care </w:t>
      </w:r>
      <w:r w:rsidR="00937F8E" w:rsidRPr="00A95BB4">
        <w:rPr>
          <w:rFonts w:cstheme="minorHAnsi"/>
        </w:rPr>
        <w:t xml:space="preserve">Professionals; Adolescent &amp; Youth </w:t>
      </w:r>
      <w:proofErr w:type="spellStart"/>
      <w:r w:rsidR="00937F8E" w:rsidRPr="00A95BB4">
        <w:rPr>
          <w:rFonts w:cstheme="minorHAnsi"/>
        </w:rPr>
        <w:t>Oragnisations</w:t>
      </w:r>
      <w:proofErr w:type="spellEnd"/>
      <w:r w:rsidR="00937F8E" w:rsidRPr="00A95BB4">
        <w:rPr>
          <w:rFonts w:cstheme="minorHAnsi"/>
        </w:rPr>
        <w:t>), and (iii) provide a platform for dif</w:t>
      </w:r>
      <w:r w:rsidR="001F5FAB" w:rsidRPr="00A95BB4">
        <w:rPr>
          <w:rFonts w:cstheme="minorHAnsi"/>
        </w:rPr>
        <w:t>ferent</w:t>
      </w:r>
      <w:r w:rsidR="00937F8E" w:rsidRPr="00A95BB4">
        <w:rPr>
          <w:rFonts w:cstheme="minorHAnsi"/>
        </w:rPr>
        <w:t xml:space="preserve"> </w:t>
      </w:r>
      <w:proofErr w:type="spellStart"/>
      <w:r w:rsidR="00937F8E" w:rsidRPr="00A95BB4">
        <w:rPr>
          <w:rFonts w:cstheme="minorHAnsi"/>
        </w:rPr>
        <w:t>Consituenc</w:t>
      </w:r>
      <w:r w:rsidR="00896724">
        <w:rPr>
          <w:rFonts w:cstheme="minorHAnsi"/>
        </w:rPr>
        <w:t>y</w:t>
      </w:r>
      <w:proofErr w:type="spellEnd"/>
      <w:r w:rsidR="001F5FAB" w:rsidRPr="00A95BB4">
        <w:rPr>
          <w:rFonts w:cstheme="minorHAnsi"/>
        </w:rPr>
        <w:t xml:space="preserve"> groupings</w:t>
      </w:r>
      <w:r w:rsidR="00937F8E" w:rsidRPr="00A95BB4">
        <w:rPr>
          <w:rFonts w:cstheme="minorHAnsi"/>
        </w:rPr>
        <w:t xml:space="preserve"> </w:t>
      </w:r>
      <w:r w:rsidR="001F5FAB" w:rsidRPr="00A95BB4">
        <w:rPr>
          <w:rFonts w:cstheme="minorHAnsi"/>
        </w:rPr>
        <w:t xml:space="preserve">in </w:t>
      </w:r>
      <w:r w:rsidR="00937F8E" w:rsidRPr="00A95BB4">
        <w:rPr>
          <w:rFonts w:cstheme="minorHAnsi"/>
        </w:rPr>
        <w:t xml:space="preserve">our </w:t>
      </w:r>
      <w:r w:rsidR="001F5FAB" w:rsidRPr="00A95BB4">
        <w:rPr>
          <w:rFonts w:cstheme="minorHAnsi"/>
        </w:rPr>
        <w:t>G</w:t>
      </w:r>
      <w:r w:rsidR="00937F8E" w:rsidRPr="00A95BB4">
        <w:rPr>
          <w:rFonts w:cstheme="minorHAnsi"/>
        </w:rPr>
        <w:t xml:space="preserve">overnance and </w:t>
      </w:r>
      <w:r w:rsidR="001F5FAB" w:rsidRPr="00A95BB4">
        <w:rPr>
          <w:rFonts w:cstheme="minorHAnsi"/>
        </w:rPr>
        <w:t>leadership.</w:t>
      </w:r>
    </w:p>
    <w:p w14:paraId="2165D544" w14:textId="77777777" w:rsidR="00B067F7" w:rsidRPr="00A95BB4" w:rsidRDefault="00B067F7" w:rsidP="00B067F7">
      <w:pPr>
        <w:pStyle w:val="ListParagraph"/>
        <w:ind w:left="786"/>
        <w:jc w:val="both"/>
        <w:rPr>
          <w:rFonts w:cstheme="minorHAnsi"/>
        </w:rPr>
      </w:pPr>
    </w:p>
    <w:p w14:paraId="142C62E5" w14:textId="06572D8B" w:rsidR="00760188" w:rsidRPr="00A95BB4" w:rsidRDefault="00B067F7" w:rsidP="00676EA7">
      <w:pPr>
        <w:pStyle w:val="ListParagraph"/>
        <w:numPr>
          <w:ilvl w:val="0"/>
          <w:numId w:val="25"/>
        </w:numPr>
        <w:ind w:left="720" w:hanging="219"/>
        <w:jc w:val="both"/>
        <w:rPr>
          <w:rFonts w:eastAsia="Times New Roman" w:cstheme="minorHAnsi"/>
        </w:rPr>
      </w:pPr>
      <w:r w:rsidRPr="00A95BB4">
        <w:rPr>
          <w:rFonts w:cstheme="minorHAnsi"/>
          <w:b/>
          <w:bCs/>
        </w:rPr>
        <w:t>Leveraging global partnerships &amp; alliances</w:t>
      </w:r>
      <w:r w:rsidRPr="00A95BB4">
        <w:rPr>
          <w:rFonts w:cstheme="minorHAnsi"/>
        </w:rPr>
        <w:t>: we will leverage PMNCH’s formal engagement in number of global health partnerships and alliances, including: EWEC High Level Steering Group; Global Financing Facility Investors’ Group; FP2020 Reference Group</w:t>
      </w:r>
      <w:r w:rsidR="00760188" w:rsidRPr="00A95BB4">
        <w:rPr>
          <w:rFonts w:cstheme="minorHAnsi"/>
        </w:rPr>
        <w:t>. We will seek to leverage the re</w:t>
      </w:r>
      <w:r w:rsidR="00C02240">
        <w:rPr>
          <w:rFonts w:cstheme="minorHAnsi"/>
        </w:rPr>
        <w:t>s</w:t>
      </w:r>
      <w:r w:rsidR="00760188" w:rsidRPr="00A95BB4">
        <w:rPr>
          <w:rFonts w:cstheme="minorHAnsi"/>
        </w:rPr>
        <w:t xml:space="preserve">ources and capabilities of the large global health alliances including GAVI and the Global Fund to Fight AIDS, Tuberculosis and Malaria.  </w:t>
      </w:r>
    </w:p>
    <w:p w14:paraId="301F8B1F" w14:textId="77777777" w:rsidR="00760188" w:rsidRPr="00A95BB4" w:rsidRDefault="00760188" w:rsidP="00760188">
      <w:pPr>
        <w:pStyle w:val="ListParagraph"/>
        <w:jc w:val="both"/>
        <w:rPr>
          <w:rFonts w:eastAsia="Times New Roman" w:cstheme="minorHAnsi"/>
        </w:rPr>
      </w:pPr>
    </w:p>
    <w:p w14:paraId="1A7369CD" w14:textId="794D1539" w:rsidR="00676EA7" w:rsidRPr="00A95BB4" w:rsidRDefault="00760188" w:rsidP="00676EA7">
      <w:pPr>
        <w:pStyle w:val="ListParagraph"/>
        <w:numPr>
          <w:ilvl w:val="0"/>
          <w:numId w:val="25"/>
        </w:numPr>
        <w:ind w:left="720" w:hanging="219"/>
        <w:jc w:val="both"/>
        <w:rPr>
          <w:rFonts w:eastAsia="Times New Roman" w:cstheme="minorHAnsi"/>
        </w:rPr>
      </w:pPr>
      <w:r w:rsidRPr="00A95BB4">
        <w:rPr>
          <w:rFonts w:cstheme="minorHAnsi"/>
          <w:b/>
          <w:bCs/>
        </w:rPr>
        <w:t>Working through and with other sectors</w:t>
      </w:r>
      <w:r w:rsidRPr="00A95BB4">
        <w:rPr>
          <w:rFonts w:cstheme="minorHAnsi"/>
        </w:rPr>
        <w:t>: g</w:t>
      </w:r>
      <w:r w:rsidR="00B067F7" w:rsidRPr="00A95BB4">
        <w:rPr>
          <w:rFonts w:cstheme="minorHAnsi"/>
        </w:rPr>
        <w:t xml:space="preserve">iven the importance of broader determinants of health, we will also seek closer alliances – whether structural or issue- and campaign-based – with global partnerships in areas such as Nutrition, Education and Water &amp; Sanitation, including the Scaling up Nutrition (SUN) movement, the Global Partnership for Education and the Global Partnership to End Violence Against Children. </w:t>
      </w:r>
      <w:r w:rsidR="00394AE4" w:rsidRPr="00A95BB4">
        <w:rPr>
          <w:rFonts w:cstheme="minorHAnsi"/>
        </w:rPr>
        <w:t xml:space="preserve">As part of increasing our work with other sectors that contribute to health outcomes, PMNCH will contribute to and track, as part of our Results Framework (see Annex 2), SDG progress in other sectors, including: </w:t>
      </w:r>
      <w:r w:rsidR="00394AE4" w:rsidRPr="00A95BB4">
        <w:rPr>
          <w:rFonts w:eastAsia="Times New Roman" w:cstheme="minorHAnsi"/>
        </w:rPr>
        <w:t>Poverty reduction (SDG 1), Nutrition (SDG 2), Girls’ Education (SDG 4), Early Childhood Development (SDG 4), Gender Equality (SDG 5), WASH (SDG 6), Violence Against Children (SDG 16); Partnerships (SDG 17).</w:t>
      </w:r>
    </w:p>
    <w:p w14:paraId="402D2BA5" w14:textId="77777777" w:rsidR="00676EA7" w:rsidRPr="00A95BB4" w:rsidRDefault="00676EA7" w:rsidP="00676EA7">
      <w:pPr>
        <w:pStyle w:val="ListParagraph"/>
        <w:jc w:val="both"/>
        <w:rPr>
          <w:rFonts w:eastAsia="Times New Roman" w:cstheme="minorHAnsi"/>
        </w:rPr>
      </w:pPr>
    </w:p>
    <w:p w14:paraId="58C3606F" w14:textId="692E821E" w:rsidR="00676EA7" w:rsidRDefault="00AA0CE4" w:rsidP="00676EA7">
      <w:pPr>
        <w:pStyle w:val="ListParagraph"/>
        <w:numPr>
          <w:ilvl w:val="0"/>
          <w:numId w:val="25"/>
        </w:numPr>
        <w:ind w:left="720" w:hanging="219"/>
        <w:jc w:val="both"/>
        <w:rPr>
          <w:rFonts w:eastAsia="Times New Roman" w:cstheme="minorHAnsi"/>
        </w:rPr>
      </w:pPr>
      <w:r w:rsidRPr="00A95BB4">
        <w:rPr>
          <w:rFonts w:cstheme="minorHAnsi"/>
          <w:b/>
          <w:bCs/>
        </w:rPr>
        <w:t xml:space="preserve">Digitally-enabled communication, knowledge exchange, and joint action: </w:t>
      </w:r>
      <w:r w:rsidRPr="00A95BB4">
        <w:rPr>
          <w:rFonts w:cstheme="minorHAnsi"/>
        </w:rPr>
        <w:t>we will align, resource and amplify the voices of partners through digitally-enabled communication among partners</w:t>
      </w:r>
      <w:r w:rsidR="009E3D18" w:rsidRPr="00A95BB4">
        <w:rPr>
          <w:rFonts w:cstheme="minorHAnsi"/>
        </w:rPr>
        <w:t>, across constituencies and sectors</w:t>
      </w:r>
      <w:r w:rsidRPr="00A95BB4">
        <w:rPr>
          <w:rFonts w:cstheme="minorHAnsi"/>
        </w:rPr>
        <w:t>. This will enable exchange of knowledge, including sharing of global public goods, as well as global convening and mutual support. This will be supported by products such as evidence syntheses, toolkits and advocacy briefs. It will enable all PMNCH partners everywhere – including</w:t>
      </w:r>
      <w:r w:rsidRPr="00676EA7">
        <w:rPr>
          <w:rFonts w:cstheme="minorHAnsi"/>
        </w:rPr>
        <w:t xml:space="preserve"> those with extensive country presence (e.g. UN agencies, NGOs), those with aggregating power (e.g. Inter-Parliamentary Union) and small grass-roots organisations based in partner countries – to be more aligned and effective advocates for women’s, children’s and adolescent health. We will act globally to impact locally, and we will enable local experiences to inform and influence global action.</w:t>
      </w:r>
    </w:p>
    <w:p w14:paraId="6626B587" w14:textId="77777777" w:rsidR="00676EA7" w:rsidRPr="00676EA7" w:rsidRDefault="00676EA7" w:rsidP="00676EA7">
      <w:pPr>
        <w:pStyle w:val="ListParagraph"/>
        <w:jc w:val="both"/>
        <w:rPr>
          <w:rFonts w:eastAsia="Times New Roman" w:cstheme="minorHAnsi"/>
        </w:rPr>
      </w:pPr>
    </w:p>
    <w:p w14:paraId="11654C09" w14:textId="77777777" w:rsidR="00676EA7" w:rsidRPr="00676EA7" w:rsidRDefault="00B067F7" w:rsidP="00676EA7">
      <w:pPr>
        <w:pStyle w:val="ListParagraph"/>
        <w:numPr>
          <w:ilvl w:val="0"/>
          <w:numId w:val="25"/>
        </w:numPr>
        <w:ind w:left="720" w:hanging="219"/>
        <w:jc w:val="both"/>
        <w:rPr>
          <w:rFonts w:eastAsia="Times New Roman" w:cstheme="minorHAnsi"/>
        </w:rPr>
      </w:pPr>
      <w:r w:rsidRPr="00676EA7">
        <w:rPr>
          <w:rFonts w:cstheme="minorHAnsi"/>
          <w:b/>
          <w:bCs/>
        </w:rPr>
        <w:t>Engagement through regional and sub-regional fora</w:t>
      </w:r>
      <w:r w:rsidRPr="00676EA7">
        <w:rPr>
          <w:rFonts w:cstheme="minorHAnsi"/>
        </w:rPr>
        <w:t>: we will increase PMNCH’s engagement in regional and sub-regional fora, both health-related and economic and political (e.g. African Union; the Association of South East Asian Nations). We will challenge ourselves over the Strategy period to better engage with and leverage these regional / sub-regional mechanisms.</w:t>
      </w:r>
    </w:p>
    <w:p w14:paraId="2AAD9931" w14:textId="77777777" w:rsidR="00676EA7" w:rsidRPr="00676EA7" w:rsidRDefault="00676EA7" w:rsidP="00676EA7">
      <w:pPr>
        <w:pStyle w:val="ListParagraph"/>
        <w:jc w:val="both"/>
        <w:rPr>
          <w:rFonts w:eastAsia="Times New Roman" w:cstheme="minorHAnsi"/>
        </w:rPr>
      </w:pPr>
    </w:p>
    <w:p w14:paraId="6EE50262" w14:textId="77777777" w:rsidR="00676EA7" w:rsidRDefault="00B067F7" w:rsidP="00676EA7">
      <w:pPr>
        <w:pStyle w:val="ListParagraph"/>
        <w:numPr>
          <w:ilvl w:val="0"/>
          <w:numId w:val="25"/>
        </w:numPr>
        <w:ind w:left="720" w:hanging="219"/>
        <w:jc w:val="both"/>
        <w:rPr>
          <w:rFonts w:eastAsia="Times New Roman" w:cstheme="minorHAnsi"/>
        </w:rPr>
      </w:pPr>
      <w:r w:rsidRPr="00676EA7">
        <w:rPr>
          <w:rFonts w:cstheme="minorHAnsi"/>
          <w:b/>
          <w:bCs/>
        </w:rPr>
        <w:t>Country multi-stakeholder grants</w:t>
      </w:r>
      <w:r w:rsidRPr="00676EA7">
        <w:rPr>
          <w:rFonts w:cstheme="minorHAnsi"/>
        </w:rPr>
        <w:t>: we will shift from our current models of providing multiple grants at country level to a single ‘country multi-stakeholder grants’ model; designed to align, mobilise and resource under-represented organisations in partner countries advocating for women’s, children’s and adolescent health (including civil society organisations and adolescent and youth organisations).</w:t>
      </w:r>
    </w:p>
    <w:p w14:paraId="3043AF31" w14:textId="77777777" w:rsidR="00676EA7" w:rsidRPr="00676EA7" w:rsidRDefault="00676EA7" w:rsidP="00676EA7">
      <w:pPr>
        <w:pStyle w:val="ListParagraph"/>
        <w:jc w:val="both"/>
        <w:rPr>
          <w:rFonts w:eastAsia="Times New Roman" w:cstheme="minorHAnsi"/>
        </w:rPr>
      </w:pPr>
    </w:p>
    <w:p w14:paraId="431B3018" w14:textId="62995AF7" w:rsidR="00B067F7" w:rsidRPr="00676EA7" w:rsidRDefault="00B067F7" w:rsidP="00676EA7">
      <w:pPr>
        <w:pStyle w:val="ListParagraph"/>
        <w:numPr>
          <w:ilvl w:val="0"/>
          <w:numId w:val="25"/>
        </w:numPr>
        <w:ind w:left="720" w:hanging="219"/>
        <w:jc w:val="both"/>
        <w:rPr>
          <w:rFonts w:eastAsia="Times New Roman" w:cstheme="minorHAnsi"/>
        </w:rPr>
      </w:pPr>
      <w:r w:rsidRPr="00676EA7">
        <w:rPr>
          <w:rFonts w:cstheme="minorHAnsi"/>
          <w:b/>
          <w:bCs/>
        </w:rPr>
        <w:t>PMNCH Partners’ Forum</w:t>
      </w:r>
      <w:r w:rsidRPr="00676EA7">
        <w:rPr>
          <w:rFonts w:cstheme="minorHAnsi"/>
        </w:rPr>
        <w:t xml:space="preserve">: </w:t>
      </w:r>
      <w:r w:rsidR="001F5FAB" w:rsidRPr="00676EA7">
        <w:rPr>
          <w:rFonts w:cstheme="minorHAnsi"/>
        </w:rPr>
        <w:t xml:space="preserve">we will experiment with new models of the </w:t>
      </w:r>
      <w:r w:rsidRPr="00676EA7">
        <w:rPr>
          <w:rFonts w:cstheme="minorHAnsi"/>
        </w:rPr>
        <w:t xml:space="preserve">PMNCH </w:t>
      </w:r>
      <w:r w:rsidR="001F5FAB" w:rsidRPr="00676EA7">
        <w:rPr>
          <w:rFonts w:cstheme="minorHAnsi"/>
        </w:rPr>
        <w:t>Partners’ Forum, including annual virtual formats</w:t>
      </w:r>
      <w:r w:rsidRPr="00676EA7">
        <w:rPr>
          <w:rFonts w:cstheme="minorHAnsi"/>
        </w:rPr>
        <w:t>.</w:t>
      </w:r>
    </w:p>
    <w:p w14:paraId="01A67C87" w14:textId="5F1F2BFB" w:rsidR="003E2865" w:rsidRDefault="003E2865" w:rsidP="001F5FAB">
      <w:pPr>
        <w:pStyle w:val="ListParagraph"/>
        <w:ind w:left="786"/>
        <w:jc w:val="both"/>
        <w:rPr>
          <w:rFonts w:cstheme="minorHAnsi"/>
        </w:rPr>
      </w:pPr>
    </w:p>
    <w:p w14:paraId="49E71F8A" w14:textId="77777777" w:rsidR="00053EBF" w:rsidRDefault="00053EBF" w:rsidP="001F5FAB">
      <w:pPr>
        <w:pStyle w:val="ListParagraph"/>
        <w:ind w:left="786"/>
        <w:jc w:val="both"/>
        <w:rPr>
          <w:rFonts w:cstheme="minorHAnsi"/>
        </w:rPr>
      </w:pPr>
    </w:p>
    <w:p w14:paraId="0510DB38" w14:textId="279441D4" w:rsidR="00B067F7" w:rsidRDefault="001F5FAB" w:rsidP="00B067F7">
      <w:pPr>
        <w:ind w:left="66"/>
        <w:jc w:val="both"/>
        <w:rPr>
          <w:rFonts w:cstheme="minorHAnsi"/>
        </w:rPr>
      </w:pPr>
      <w:r w:rsidRPr="00DB7DD7">
        <w:rPr>
          <w:rFonts w:cstheme="minorHAnsi"/>
          <w:noProof/>
        </w:rPr>
        <mc:AlternateContent>
          <mc:Choice Requires="wps">
            <w:drawing>
              <wp:inline distT="0" distB="0" distL="0" distR="0" wp14:anchorId="7DAE1F3B" wp14:editId="1B511899">
                <wp:extent cx="5759450" cy="1404620"/>
                <wp:effectExtent l="0" t="0" r="12700" b="165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04620"/>
                        </a:xfrm>
                        <a:prstGeom prst="rect">
                          <a:avLst/>
                        </a:prstGeom>
                        <a:solidFill>
                          <a:schemeClr val="accent5">
                            <a:lumMod val="20000"/>
                            <a:lumOff val="80000"/>
                          </a:schemeClr>
                        </a:solidFill>
                        <a:ln w="9525">
                          <a:solidFill>
                            <a:srgbClr val="000000"/>
                          </a:solidFill>
                          <a:miter lim="800000"/>
                          <a:headEnd/>
                          <a:tailEnd/>
                        </a:ln>
                      </wps:spPr>
                      <wps:txbx>
                        <w:txbxContent>
                          <w:p w14:paraId="0044EED0" w14:textId="42F9055E" w:rsidR="00B15F00" w:rsidRDefault="00B15F00" w:rsidP="001F5FAB">
                            <w:pPr>
                              <w:jc w:val="center"/>
                              <w:rPr>
                                <w:b/>
                                <w:bCs/>
                              </w:rPr>
                            </w:pPr>
                            <w:r w:rsidRPr="00DB7DD7">
                              <w:rPr>
                                <w:b/>
                                <w:bCs/>
                              </w:rPr>
                              <w:t>PMMCH Partners’ Forum</w:t>
                            </w:r>
                            <w:r>
                              <w:rPr>
                                <w:b/>
                                <w:bCs/>
                              </w:rPr>
                              <w:t xml:space="preserve"> 2018</w:t>
                            </w:r>
                            <w:r w:rsidRPr="00DB7DD7">
                              <w:rPr>
                                <w:b/>
                                <w:bCs/>
                              </w:rPr>
                              <w:t>, India</w:t>
                            </w:r>
                          </w:p>
                          <w:p w14:paraId="07C3810B" w14:textId="77777777" w:rsidR="00B15F00" w:rsidRPr="00DB7DD7" w:rsidRDefault="00B15F00" w:rsidP="001F5FAB">
                            <w:pPr>
                              <w:jc w:val="center"/>
                              <w:rPr>
                                <w:b/>
                                <w:bCs/>
                              </w:rPr>
                            </w:pPr>
                          </w:p>
                          <w:p w14:paraId="6F8A4C0B" w14:textId="343A6172" w:rsidR="00B15F00" w:rsidRPr="00B15F00" w:rsidRDefault="00B15F00" w:rsidP="00B15F00">
                            <w:pPr>
                              <w:pStyle w:val="NormalWeb"/>
                              <w:spacing w:before="0" w:beforeAutospacing="0" w:after="0" w:afterAutospacing="0"/>
                              <w:ind w:right="300"/>
                              <w:contextualSpacing/>
                              <w:jc w:val="both"/>
                              <w:textAlignment w:val="baseline"/>
                              <w:rPr>
                                <w:rFonts w:asciiTheme="minorHAnsi" w:hAnsiTheme="minorHAnsi" w:cstheme="minorHAnsi"/>
                                <w:color w:val="000000"/>
                                <w:sz w:val="20"/>
                                <w:szCs w:val="20"/>
                              </w:rPr>
                            </w:pPr>
                            <w:r w:rsidRPr="00B15F00">
                              <w:rPr>
                                <w:rFonts w:asciiTheme="minorHAnsi" w:hAnsiTheme="minorHAnsi" w:cstheme="minorHAnsi"/>
                                <w:color w:val="000000"/>
                                <w:sz w:val="20"/>
                                <w:szCs w:val="20"/>
                                <w:bdr w:val="none" w:sz="0" w:space="0" w:color="auto" w:frame="1"/>
                              </w:rPr>
                              <w:t xml:space="preserve">The Partners’ Forum 2018 was convened by PMNCH and the Government of India in New Delhi on 12-13 December 2018. Among the 1,600 participants were 33 country delegations, including 22 Ministers of Health and Finance and 23 Parliamentarians, </w:t>
                            </w:r>
                            <w:r w:rsidRPr="00B15F00">
                              <w:rPr>
                                <w:rFonts w:asciiTheme="minorHAnsi" w:hAnsiTheme="minorHAnsi" w:cstheme="minorHAnsi"/>
                                <w:color w:val="000000"/>
                                <w:sz w:val="20"/>
                                <w:szCs w:val="20"/>
                              </w:rPr>
                              <w:t>195 speakers &amp; moderators</w:t>
                            </w:r>
                            <w:r w:rsidRPr="00B15F00">
                              <w:rPr>
                                <w:rFonts w:asciiTheme="minorHAnsi" w:hAnsiTheme="minorHAnsi" w:cstheme="minorHAnsi"/>
                                <w:color w:val="000000"/>
                                <w:sz w:val="20"/>
                                <w:szCs w:val="20"/>
                                <w:bdr w:val="none" w:sz="0" w:space="0" w:color="auto" w:frame="1"/>
                              </w:rPr>
                              <w:t xml:space="preserve"> and over 400 young people. The objective of the Partners’ Forum was to achieve greater consensus and alignment among PMNCH’s partners on priorities, strategies and technical approaches to accelerate implementation of the Global Strategy for Women’s, Children’s and Adolescents’ Health and progress towards Universal Health Coverage and the SDGs. A number of partners made specific commitments, including: </w:t>
                            </w:r>
                            <w:r w:rsidRPr="00B15F00">
                              <w:rPr>
                                <w:rFonts w:asciiTheme="minorHAnsi" w:hAnsiTheme="minorHAnsi" w:cstheme="minorHAnsi"/>
                                <w:color w:val="000000"/>
                                <w:sz w:val="20"/>
                                <w:szCs w:val="20"/>
                              </w:rPr>
                              <w:t>(</w:t>
                            </w:r>
                            <w:proofErr w:type="spellStart"/>
                            <w:r w:rsidRPr="00B15F00">
                              <w:rPr>
                                <w:rFonts w:asciiTheme="minorHAnsi" w:hAnsiTheme="minorHAnsi" w:cstheme="minorHAnsi"/>
                                <w:color w:val="000000"/>
                                <w:sz w:val="20"/>
                                <w:szCs w:val="20"/>
                              </w:rPr>
                              <w:t>i</w:t>
                            </w:r>
                            <w:proofErr w:type="spellEnd"/>
                            <w:r w:rsidRPr="00B15F00">
                              <w:rPr>
                                <w:rFonts w:asciiTheme="minorHAnsi" w:hAnsiTheme="minorHAnsi" w:cstheme="minorHAnsi"/>
                                <w:color w:val="000000"/>
                                <w:sz w:val="20"/>
                                <w:szCs w:val="20"/>
                              </w:rPr>
                              <w:t>) 19 country commitments, including the Indian Prime Minister Narendra Modi pledg</w:t>
                            </w:r>
                            <w:r w:rsidR="00896724">
                              <w:rPr>
                                <w:rFonts w:asciiTheme="minorHAnsi" w:hAnsiTheme="minorHAnsi" w:cstheme="minorHAnsi"/>
                                <w:color w:val="000000"/>
                                <w:sz w:val="20"/>
                                <w:szCs w:val="20"/>
                              </w:rPr>
                              <w:t>ing</w:t>
                            </w:r>
                            <w:r w:rsidRPr="00B15F00">
                              <w:rPr>
                                <w:rFonts w:asciiTheme="minorHAnsi" w:hAnsiTheme="minorHAnsi" w:cstheme="minorHAnsi"/>
                                <w:color w:val="000000"/>
                                <w:sz w:val="20"/>
                                <w:szCs w:val="20"/>
                              </w:rPr>
                              <w:t xml:space="preserve"> $100 billion by 2025 for health services</w:t>
                            </w:r>
                            <w:r w:rsidR="00896724">
                              <w:rPr>
                                <w:rFonts w:asciiTheme="minorHAnsi" w:hAnsiTheme="minorHAnsi" w:cstheme="minorHAnsi"/>
                                <w:color w:val="000000"/>
                                <w:sz w:val="20"/>
                                <w:szCs w:val="20"/>
                              </w:rPr>
                              <w:t>,</w:t>
                            </w:r>
                            <w:r w:rsidRPr="00B15F00">
                              <w:rPr>
                                <w:rFonts w:asciiTheme="minorHAnsi" w:hAnsiTheme="minorHAnsi" w:cstheme="minorHAnsi"/>
                                <w:color w:val="000000"/>
                                <w:sz w:val="20"/>
                                <w:szCs w:val="20"/>
                              </w:rPr>
                              <w:t xml:space="preserve"> (ii) India also launched its Strategy for Women’s, Children’s and Adolescent’s Health 2018-2030, (iii) Wor</w:t>
                            </w:r>
                            <w:r w:rsidR="00896724">
                              <w:rPr>
                                <w:rFonts w:asciiTheme="minorHAnsi" w:hAnsiTheme="minorHAnsi" w:cstheme="minorHAnsi"/>
                                <w:color w:val="000000"/>
                                <w:sz w:val="20"/>
                                <w:szCs w:val="20"/>
                              </w:rPr>
                              <w:t>l</w:t>
                            </w:r>
                            <w:r w:rsidRPr="00B15F00">
                              <w:rPr>
                                <w:rFonts w:asciiTheme="minorHAnsi" w:hAnsiTheme="minorHAnsi" w:cstheme="minorHAnsi"/>
                                <w:color w:val="000000"/>
                                <w:sz w:val="20"/>
                                <w:szCs w:val="20"/>
                              </w:rPr>
                              <w:t>d Vision International pledged $7 billion for WCAH, (iv) Laerdal Medical Foundation pledged an additional $65 million to the Every Woman Every Child movement. The Forum generated 85 published stories in 20 countries as well as 464 million unique impressions on social media. The Government of India has been a donor to PMNCH since 2014, recently doubling its annual commitment.</w:t>
                            </w:r>
                          </w:p>
                        </w:txbxContent>
                      </wps:txbx>
                      <wps:bodyPr rot="0" vert="horz" wrap="square" lIns="91440" tIns="45720" rIns="91440" bIns="45720" anchor="t" anchorCtr="0">
                        <a:spAutoFit/>
                      </wps:bodyPr>
                    </wps:wsp>
                  </a:graphicData>
                </a:graphic>
              </wp:inline>
            </w:drawing>
          </mc:Choice>
          <mc:Fallback>
            <w:pict>
              <v:shape w14:anchorId="7DAE1F3B" id="_x0000_s1031" type="#_x0000_t202" style="width:45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" fillcolor="#deeaf6 [664]">
                <v:textbox style="mso-fit-shape-to-text:t">
                  <w:txbxContent>
                    <w:p w14:paraId="0044EED0" w14:textId="42F9055E" w:rsidR="00B15F00" w:rsidRDefault="00B15F00" w:rsidP="001F5FAB">
                      <w:pPr>
                        <w:jc w:val="center"/>
                        <w:rPr>
                          <w:b/>
                          <w:bCs/>
                        </w:rPr>
                      </w:pPr>
                      <w:r w:rsidRPr="00DB7DD7">
                        <w:rPr>
                          <w:b/>
                          <w:bCs/>
                        </w:rPr>
                        <w:t>PMMCH Partners’ Forum</w:t>
                      </w:r>
                      <w:r>
                        <w:rPr>
                          <w:b/>
                          <w:bCs/>
                        </w:rPr>
                        <w:t xml:space="preserve"> 2018</w:t>
                      </w:r>
                      <w:r w:rsidRPr="00DB7DD7">
                        <w:rPr>
                          <w:b/>
                          <w:bCs/>
                        </w:rPr>
                        <w:t>, India</w:t>
                      </w:r>
                    </w:p>
                    <w:p w14:paraId="07C3810B" w14:textId="77777777" w:rsidR="00B15F00" w:rsidRPr="00DB7DD7" w:rsidRDefault="00B15F00" w:rsidP="001F5FAB">
                      <w:pPr>
                        <w:jc w:val="center"/>
                        <w:rPr>
                          <w:b/>
                          <w:bCs/>
                        </w:rPr>
                      </w:pPr>
                    </w:p>
                    <w:p w14:paraId="6F8A4C0B" w14:textId="343A6172" w:rsidR="00B15F00" w:rsidRPr="00B15F00" w:rsidRDefault="00B15F00" w:rsidP="00B15F00">
                      <w:pPr>
                        <w:pStyle w:val="NormalWeb"/>
                        <w:spacing w:before="0" w:beforeAutospacing="0" w:after="0" w:afterAutospacing="0"/>
                        <w:ind w:right="300"/>
                        <w:contextualSpacing/>
                        <w:jc w:val="both"/>
                        <w:textAlignment w:val="baseline"/>
                        <w:rPr>
                          <w:rFonts w:asciiTheme="minorHAnsi" w:hAnsiTheme="minorHAnsi" w:cstheme="minorHAnsi"/>
                          <w:color w:val="000000"/>
                          <w:sz w:val="20"/>
                          <w:szCs w:val="20"/>
                        </w:rPr>
                      </w:pPr>
                      <w:r w:rsidRPr="00B15F00">
                        <w:rPr>
                          <w:rFonts w:asciiTheme="minorHAnsi" w:hAnsiTheme="minorHAnsi" w:cstheme="minorHAnsi"/>
                          <w:color w:val="000000"/>
                          <w:sz w:val="20"/>
                          <w:szCs w:val="20"/>
                          <w:bdr w:val="none" w:sz="0" w:space="0" w:color="auto" w:frame="1"/>
                        </w:rPr>
                        <w:t xml:space="preserve">The Partners’ Forum 2018 was convened by PMNCH and the Government of India in New Delhi on 12-13 December 2018. Among the 1,600 participants were 33 country delegations, including 22 Ministers of Health and Finance and 23 Parliamentarians, </w:t>
                      </w:r>
                      <w:r w:rsidRPr="00B15F00">
                        <w:rPr>
                          <w:rFonts w:asciiTheme="minorHAnsi" w:hAnsiTheme="minorHAnsi" w:cstheme="minorHAnsi"/>
                          <w:color w:val="000000"/>
                          <w:sz w:val="20"/>
                          <w:szCs w:val="20"/>
                        </w:rPr>
                        <w:t>195 speakers &amp; moderators</w:t>
                      </w:r>
                      <w:r w:rsidRPr="00B15F00">
                        <w:rPr>
                          <w:rFonts w:asciiTheme="minorHAnsi" w:hAnsiTheme="minorHAnsi" w:cstheme="minorHAnsi"/>
                          <w:color w:val="000000"/>
                          <w:sz w:val="20"/>
                          <w:szCs w:val="20"/>
                          <w:bdr w:val="none" w:sz="0" w:space="0" w:color="auto" w:frame="1"/>
                        </w:rPr>
                        <w:t xml:space="preserve"> and over 400 young people. The objective of the Partners’ Forum was to achieve greater consensus and alignment among PMNCH’s partners on priorities, strategies and technical approaches to accelerate implementation of the Global Strategy for Women’s, Children’s and Adolescents’ Health and progress towards Universal Health Coverage and the SDGs. A number of partners made specific commitments, including: </w:t>
                      </w:r>
                      <w:r w:rsidRPr="00B15F00">
                        <w:rPr>
                          <w:rFonts w:asciiTheme="minorHAnsi" w:hAnsiTheme="minorHAnsi" w:cstheme="minorHAnsi"/>
                          <w:color w:val="000000"/>
                          <w:sz w:val="20"/>
                          <w:szCs w:val="20"/>
                        </w:rPr>
                        <w:t>(</w:t>
                      </w:r>
                      <w:proofErr w:type="spellStart"/>
                      <w:r w:rsidRPr="00B15F00">
                        <w:rPr>
                          <w:rFonts w:asciiTheme="minorHAnsi" w:hAnsiTheme="minorHAnsi" w:cstheme="minorHAnsi"/>
                          <w:color w:val="000000"/>
                          <w:sz w:val="20"/>
                          <w:szCs w:val="20"/>
                        </w:rPr>
                        <w:t>i</w:t>
                      </w:r>
                      <w:proofErr w:type="spellEnd"/>
                      <w:r w:rsidRPr="00B15F00">
                        <w:rPr>
                          <w:rFonts w:asciiTheme="minorHAnsi" w:hAnsiTheme="minorHAnsi" w:cstheme="minorHAnsi"/>
                          <w:color w:val="000000"/>
                          <w:sz w:val="20"/>
                          <w:szCs w:val="20"/>
                        </w:rPr>
                        <w:t>) 19 country commitments, including the Indian Prime Minister Narendra Modi pledg</w:t>
                      </w:r>
                      <w:r w:rsidR="00896724">
                        <w:rPr>
                          <w:rFonts w:asciiTheme="minorHAnsi" w:hAnsiTheme="minorHAnsi" w:cstheme="minorHAnsi"/>
                          <w:color w:val="000000"/>
                          <w:sz w:val="20"/>
                          <w:szCs w:val="20"/>
                        </w:rPr>
                        <w:t>ing</w:t>
                      </w:r>
                      <w:r w:rsidRPr="00B15F00">
                        <w:rPr>
                          <w:rFonts w:asciiTheme="minorHAnsi" w:hAnsiTheme="minorHAnsi" w:cstheme="minorHAnsi"/>
                          <w:color w:val="000000"/>
                          <w:sz w:val="20"/>
                          <w:szCs w:val="20"/>
                        </w:rPr>
                        <w:t xml:space="preserve"> $100 billion by 2025 for health services</w:t>
                      </w:r>
                      <w:r w:rsidR="00896724">
                        <w:rPr>
                          <w:rFonts w:asciiTheme="minorHAnsi" w:hAnsiTheme="minorHAnsi" w:cstheme="minorHAnsi"/>
                          <w:color w:val="000000"/>
                          <w:sz w:val="20"/>
                          <w:szCs w:val="20"/>
                        </w:rPr>
                        <w:t>,</w:t>
                      </w:r>
                      <w:r w:rsidRPr="00B15F00">
                        <w:rPr>
                          <w:rFonts w:asciiTheme="minorHAnsi" w:hAnsiTheme="minorHAnsi" w:cstheme="minorHAnsi"/>
                          <w:color w:val="000000"/>
                          <w:sz w:val="20"/>
                          <w:szCs w:val="20"/>
                        </w:rPr>
                        <w:t xml:space="preserve"> (ii) India also launched its Strategy for Women’s, Children’s and Adolescent’s Health 2018-2030, (iii) Wor</w:t>
                      </w:r>
                      <w:r w:rsidR="00896724">
                        <w:rPr>
                          <w:rFonts w:asciiTheme="minorHAnsi" w:hAnsiTheme="minorHAnsi" w:cstheme="minorHAnsi"/>
                          <w:color w:val="000000"/>
                          <w:sz w:val="20"/>
                          <w:szCs w:val="20"/>
                        </w:rPr>
                        <w:t>l</w:t>
                      </w:r>
                      <w:r w:rsidRPr="00B15F00">
                        <w:rPr>
                          <w:rFonts w:asciiTheme="minorHAnsi" w:hAnsiTheme="minorHAnsi" w:cstheme="minorHAnsi"/>
                          <w:color w:val="000000"/>
                          <w:sz w:val="20"/>
                          <w:szCs w:val="20"/>
                        </w:rPr>
                        <w:t>d Vision International pledged $7 billion for WCAH, (iv) Laerdal Medical Foundation pledged an additional $65 million to the Every Woman Every Child movement. The Forum generated 85 published stories in 20 countries as well as 464 million unique impressions on social media. The Government of India has been a donor to PMNCH since 2014, recently doubling its annual commitment.</w:t>
                      </w:r>
                    </w:p>
                  </w:txbxContent>
                </v:textbox>
                <w10:anchorlock/>
              </v:shape>
            </w:pict>
          </mc:Fallback>
        </mc:AlternateContent>
      </w:r>
    </w:p>
    <w:p w14:paraId="491F1184" w14:textId="06A48D1B" w:rsidR="00B067F7" w:rsidRDefault="00B067F7" w:rsidP="00045FA7">
      <w:pPr>
        <w:pStyle w:val="ListParagraph"/>
        <w:ind w:left="0"/>
        <w:jc w:val="both"/>
        <w:rPr>
          <w:rFonts w:cstheme="minorHAnsi"/>
        </w:rPr>
      </w:pPr>
    </w:p>
    <w:p w14:paraId="71C5EF97" w14:textId="51856931" w:rsidR="00045FA7" w:rsidRDefault="00045FA7" w:rsidP="00045FA7">
      <w:pPr>
        <w:pStyle w:val="ListParagraph"/>
        <w:ind w:left="0"/>
        <w:jc w:val="both"/>
        <w:rPr>
          <w:rFonts w:cstheme="minorHAnsi"/>
        </w:rPr>
      </w:pPr>
    </w:p>
    <w:p w14:paraId="0B249E47" w14:textId="77777777" w:rsidR="00045FA7" w:rsidRPr="003D42C8" w:rsidRDefault="00045FA7" w:rsidP="00045FA7">
      <w:pPr>
        <w:pStyle w:val="ListParagraph"/>
        <w:ind w:left="0"/>
        <w:jc w:val="both"/>
        <w:rPr>
          <w:rFonts w:cstheme="minorHAnsi"/>
        </w:rPr>
      </w:pPr>
    </w:p>
    <w:p w14:paraId="0F6C85CC" w14:textId="249FFF89" w:rsidR="00DE7D30" w:rsidRPr="00DE7D30" w:rsidRDefault="00DE7D30" w:rsidP="00080D57">
      <w:pPr>
        <w:contextualSpacing/>
        <w:rPr>
          <w:rFonts w:cstheme="minorHAnsi"/>
          <w:b/>
          <w:bCs/>
          <w:color w:val="2F5496" w:themeColor="accent1" w:themeShade="BF"/>
        </w:rPr>
      </w:pPr>
      <w:r w:rsidRPr="00DE7D30">
        <w:rPr>
          <w:rFonts w:cstheme="minorHAnsi"/>
          <w:b/>
          <w:bCs/>
          <w:color w:val="2F5496" w:themeColor="accent1" w:themeShade="BF"/>
        </w:rPr>
        <w:t>7.</w:t>
      </w:r>
      <w:r w:rsidRPr="00DE7D30">
        <w:rPr>
          <w:rFonts w:cstheme="minorHAnsi"/>
          <w:b/>
          <w:bCs/>
          <w:color w:val="2F5496" w:themeColor="accent1" w:themeShade="BF"/>
        </w:rPr>
        <w:tab/>
      </w:r>
      <w:r w:rsidR="00717EC3" w:rsidRPr="00DE7D30">
        <w:rPr>
          <w:rFonts w:cstheme="minorHAnsi"/>
          <w:b/>
          <w:bCs/>
          <w:color w:val="2F5496" w:themeColor="accent1" w:themeShade="BF"/>
        </w:rPr>
        <w:t>O</w:t>
      </w:r>
      <w:r w:rsidR="004B16FA" w:rsidRPr="00DE7D30">
        <w:rPr>
          <w:rFonts w:cstheme="minorHAnsi"/>
          <w:b/>
          <w:bCs/>
          <w:color w:val="2F5496" w:themeColor="accent1" w:themeShade="BF"/>
        </w:rPr>
        <w:t>UTCOMES</w:t>
      </w:r>
    </w:p>
    <w:p w14:paraId="101484BE" w14:textId="77CD0602" w:rsidR="00717EC3" w:rsidRPr="00DE7D30" w:rsidRDefault="00717EC3" w:rsidP="00B55AAE">
      <w:pPr>
        <w:contextualSpacing/>
        <w:jc w:val="both"/>
        <w:rPr>
          <w:rFonts w:cstheme="minorHAnsi"/>
          <w:b/>
          <w:bCs/>
          <w:color w:val="2F5496" w:themeColor="accent1" w:themeShade="BF"/>
        </w:rPr>
      </w:pPr>
      <w:r w:rsidRPr="00DE7D30">
        <w:rPr>
          <w:rFonts w:cstheme="minorHAnsi"/>
          <w:b/>
          <w:bCs/>
          <w:color w:val="2F5496" w:themeColor="accent1" w:themeShade="BF"/>
        </w:rPr>
        <w:t xml:space="preserve"> </w:t>
      </w:r>
    </w:p>
    <w:p w14:paraId="710604CB" w14:textId="74335F47" w:rsidR="00754AA2" w:rsidRDefault="00202AA2" w:rsidP="00B55AAE">
      <w:pPr>
        <w:jc w:val="both"/>
        <w:rPr>
          <w:rFonts w:cstheme="minorHAnsi"/>
        </w:rPr>
      </w:pPr>
      <w:r>
        <w:rPr>
          <w:rFonts w:cstheme="minorHAnsi"/>
        </w:rPr>
        <w:t>PMNCH will advocate for and track our contribution to three sets of outcomes related to w</w:t>
      </w:r>
      <w:r w:rsidR="00842727">
        <w:rPr>
          <w:rFonts w:cstheme="minorHAnsi"/>
        </w:rPr>
        <w:t>omen</w:t>
      </w:r>
      <w:r w:rsidR="00B55AAE">
        <w:rPr>
          <w:rFonts w:cstheme="minorHAnsi"/>
        </w:rPr>
        <w:t>’</w:t>
      </w:r>
      <w:r w:rsidR="00842727">
        <w:rPr>
          <w:rFonts w:cstheme="minorHAnsi"/>
        </w:rPr>
        <w:t xml:space="preserve">s, </w:t>
      </w:r>
      <w:r>
        <w:rPr>
          <w:rFonts w:cstheme="minorHAnsi"/>
        </w:rPr>
        <w:t>c</w:t>
      </w:r>
      <w:r w:rsidR="00842727">
        <w:rPr>
          <w:rFonts w:cstheme="minorHAnsi"/>
        </w:rPr>
        <w:t xml:space="preserve">hildren’s and </w:t>
      </w:r>
      <w:r>
        <w:rPr>
          <w:rFonts w:cstheme="minorHAnsi"/>
        </w:rPr>
        <w:t>a</w:t>
      </w:r>
      <w:r w:rsidR="00842727">
        <w:rPr>
          <w:rFonts w:cstheme="minorHAnsi"/>
        </w:rPr>
        <w:t>dolescents</w:t>
      </w:r>
      <w:r w:rsidR="00B55AAE">
        <w:rPr>
          <w:rFonts w:cstheme="minorHAnsi"/>
        </w:rPr>
        <w:t>’</w:t>
      </w:r>
      <w:r w:rsidR="00842727">
        <w:rPr>
          <w:rFonts w:cstheme="minorHAnsi"/>
        </w:rPr>
        <w:t xml:space="preserve"> </w:t>
      </w:r>
      <w:r>
        <w:rPr>
          <w:rFonts w:cstheme="minorHAnsi"/>
        </w:rPr>
        <w:t>h</w:t>
      </w:r>
      <w:r w:rsidR="00842727">
        <w:rPr>
          <w:rFonts w:cstheme="minorHAnsi"/>
        </w:rPr>
        <w:t>ealth</w:t>
      </w:r>
      <w:r>
        <w:rPr>
          <w:rFonts w:cstheme="minorHAnsi"/>
        </w:rPr>
        <w:t xml:space="preserve">, with a focus on our three priority areas of </w:t>
      </w:r>
      <w:r w:rsidR="00A20408">
        <w:rPr>
          <w:rFonts w:cstheme="minorHAnsi"/>
        </w:rPr>
        <w:t>M</w:t>
      </w:r>
      <w:r w:rsidR="00842727">
        <w:rPr>
          <w:rFonts w:cstheme="minorHAnsi"/>
        </w:rPr>
        <w:t xml:space="preserve">aternal, </w:t>
      </w:r>
      <w:proofErr w:type="spellStart"/>
      <w:r w:rsidR="00A20408">
        <w:rPr>
          <w:rFonts w:cstheme="minorHAnsi"/>
        </w:rPr>
        <w:t>N</w:t>
      </w:r>
      <w:r w:rsidR="00842727">
        <w:rPr>
          <w:rFonts w:cstheme="minorHAnsi"/>
        </w:rPr>
        <w:t>ewborn</w:t>
      </w:r>
      <w:proofErr w:type="spellEnd"/>
      <w:r w:rsidR="00842727">
        <w:rPr>
          <w:rFonts w:cstheme="minorHAnsi"/>
        </w:rPr>
        <w:t xml:space="preserve"> and </w:t>
      </w:r>
      <w:r w:rsidR="00A20408">
        <w:rPr>
          <w:rFonts w:cstheme="minorHAnsi"/>
        </w:rPr>
        <w:t>C</w:t>
      </w:r>
      <w:r w:rsidR="00842727">
        <w:rPr>
          <w:rFonts w:cstheme="minorHAnsi"/>
        </w:rPr>
        <w:t xml:space="preserve">hild </w:t>
      </w:r>
      <w:r w:rsidR="00A20408">
        <w:rPr>
          <w:rFonts w:cstheme="minorHAnsi"/>
        </w:rPr>
        <w:t>H</w:t>
      </w:r>
      <w:r w:rsidR="00842727">
        <w:rPr>
          <w:rFonts w:cstheme="minorHAnsi"/>
        </w:rPr>
        <w:t>ealth, SRHR and Adolescent</w:t>
      </w:r>
      <w:r>
        <w:rPr>
          <w:rFonts w:cstheme="minorHAnsi"/>
        </w:rPr>
        <w:t>s</w:t>
      </w:r>
      <w:r w:rsidR="00842727">
        <w:rPr>
          <w:rFonts w:cstheme="minorHAnsi"/>
        </w:rPr>
        <w:t>.</w:t>
      </w:r>
      <w:r>
        <w:rPr>
          <w:rFonts w:cstheme="minorHAnsi"/>
        </w:rPr>
        <w:t xml:space="preserve"> Within our Theory of Change (see Annex 1), it is anticipated that these outcomes will in turn contribute to the SDG 3 targets and indicators for women’s, children’s and adolescents’ health (see Annex 4).</w:t>
      </w:r>
      <w:r w:rsidR="0063528B">
        <w:rPr>
          <w:rFonts w:cstheme="minorHAnsi"/>
        </w:rPr>
        <w:t xml:space="preserve"> Tracking of these outcomes</w:t>
      </w:r>
      <w:r w:rsidR="00177CC8">
        <w:rPr>
          <w:rFonts w:cstheme="minorHAnsi"/>
        </w:rPr>
        <w:t xml:space="preserve"> – how indicators will be selected; frequency of measurement; means of verification –</w:t>
      </w:r>
      <w:r w:rsidR="00395F2C">
        <w:rPr>
          <w:rFonts w:cstheme="minorHAnsi"/>
        </w:rPr>
        <w:t xml:space="preserve"> </w:t>
      </w:r>
      <w:r w:rsidR="0063528B">
        <w:rPr>
          <w:rFonts w:cstheme="minorHAnsi"/>
        </w:rPr>
        <w:t>is further</w:t>
      </w:r>
      <w:r w:rsidR="00177CC8">
        <w:rPr>
          <w:rFonts w:cstheme="minorHAnsi"/>
        </w:rPr>
        <w:t xml:space="preserve"> described in the outline</w:t>
      </w:r>
      <w:r w:rsidR="00FA4A09">
        <w:rPr>
          <w:rFonts w:cstheme="minorHAnsi"/>
        </w:rPr>
        <w:t>d</w:t>
      </w:r>
      <w:r w:rsidR="00177CC8">
        <w:rPr>
          <w:rFonts w:cstheme="minorHAnsi"/>
        </w:rPr>
        <w:t xml:space="preserve"> Results Framework for this Strategy (see Annex 2).</w:t>
      </w:r>
      <w:r w:rsidR="0063528B">
        <w:rPr>
          <w:rFonts w:cstheme="minorHAnsi"/>
        </w:rPr>
        <w:t xml:space="preserve"> </w:t>
      </w:r>
      <w:r w:rsidR="008F2E5F">
        <w:rPr>
          <w:rFonts w:cstheme="minorHAnsi"/>
        </w:rPr>
        <w:t xml:space="preserve">Finally, the outcomes below are largely related to the </w:t>
      </w:r>
      <w:r w:rsidR="008F2E5F" w:rsidRPr="008F2E5F">
        <w:rPr>
          <w:rFonts w:cstheme="minorHAnsi"/>
          <w:i/>
          <w:iCs/>
        </w:rPr>
        <w:t>health</w:t>
      </w:r>
      <w:r w:rsidR="008F2E5F">
        <w:rPr>
          <w:rFonts w:cstheme="minorHAnsi"/>
        </w:rPr>
        <w:t xml:space="preserve"> sector. Given the multiple determinants of health outcomes outside of the health sector, we will also identify outcomes in sectors such as Education, WASH and Economic development that PMNCH can contribute to during the Strategy period.</w:t>
      </w:r>
    </w:p>
    <w:p w14:paraId="3EAA2770" w14:textId="77777777" w:rsidR="00754AA2" w:rsidRPr="00DE7D30" w:rsidRDefault="00754AA2" w:rsidP="00B55AAE">
      <w:pPr>
        <w:pStyle w:val="ListParagraph"/>
        <w:jc w:val="both"/>
        <w:rPr>
          <w:rFonts w:cstheme="minorHAnsi"/>
        </w:rPr>
      </w:pPr>
    </w:p>
    <w:p w14:paraId="1AD44060" w14:textId="12D4947C" w:rsidR="0073174B" w:rsidRPr="00202AA2" w:rsidRDefault="00716421" w:rsidP="00B55AAE">
      <w:pPr>
        <w:jc w:val="both"/>
        <w:rPr>
          <w:rFonts w:cstheme="minorHAnsi"/>
          <w:color w:val="2F5496" w:themeColor="accent1" w:themeShade="BF"/>
        </w:rPr>
      </w:pPr>
      <w:r w:rsidRPr="00202AA2">
        <w:rPr>
          <w:rFonts w:cstheme="minorHAnsi"/>
          <w:b/>
          <w:bCs/>
          <w:color w:val="2F5496" w:themeColor="accent1" w:themeShade="BF"/>
        </w:rPr>
        <w:t>A.</w:t>
      </w:r>
      <w:r w:rsidR="006462F7" w:rsidRPr="00202AA2">
        <w:rPr>
          <w:rFonts w:cstheme="minorHAnsi"/>
          <w:b/>
          <w:bCs/>
          <w:color w:val="2F5496" w:themeColor="accent1" w:themeShade="BF"/>
        </w:rPr>
        <w:tab/>
      </w:r>
      <w:r w:rsidR="0073174B" w:rsidRPr="00202AA2">
        <w:rPr>
          <w:rFonts w:cstheme="minorHAnsi"/>
          <w:b/>
          <w:bCs/>
          <w:color w:val="2F5496" w:themeColor="accent1" w:themeShade="BF"/>
        </w:rPr>
        <w:t>POLICY: better policies &amp; legislation for WCAH</w:t>
      </w:r>
      <w:r w:rsidR="00F64902" w:rsidRPr="00202AA2">
        <w:rPr>
          <w:rFonts w:cstheme="minorHAnsi"/>
          <w:b/>
          <w:bCs/>
          <w:color w:val="2F5496" w:themeColor="accent1" w:themeShade="BF"/>
        </w:rPr>
        <w:t xml:space="preserve"> </w:t>
      </w:r>
      <w:r w:rsidR="00F64902" w:rsidRPr="00202AA2">
        <w:rPr>
          <w:rFonts w:cstheme="minorHAnsi"/>
          <w:color w:val="2F5496" w:themeColor="accent1" w:themeShade="BF"/>
        </w:rPr>
        <w:t>(focus on MNCH, SRHR, Adolescents)</w:t>
      </w:r>
    </w:p>
    <w:p w14:paraId="6550F869" w14:textId="6D87D179" w:rsidR="00716421" w:rsidRDefault="00716421" w:rsidP="00B55AAE">
      <w:pPr>
        <w:pStyle w:val="ListParagraph"/>
        <w:ind w:left="0"/>
        <w:jc w:val="both"/>
        <w:rPr>
          <w:rFonts w:cstheme="minorHAnsi"/>
        </w:rPr>
      </w:pPr>
    </w:p>
    <w:p w14:paraId="0E7C0DD0" w14:textId="530A4BA9" w:rsidR="00716421" w:rsidRDefault="00B55AAE" w:rsidP="00B55AAE">
      <w:pPr>
        <w:pStyle w:val="ListParagraph"/>
        <w:ind w:left="0"/>
        <w:jc w:val="both"/>
        <w:rPr>
          <w:rFonts w:cstheme="minorHAnsi"/>
        </w:rPr>
      </w:pPr>
      <w:r>
        <w:rPr>
          <w:rFonts w:cstheme="minorHAnsi"/>
        </w:rPr>
        <w:t>Good policies and legislation are the foundations for effective, fair and equitable investments in women’s, children’s and adolescents’ health, as well as</w:t>
      </w:r>
      <w:r w:rsidR="00F03596">
        <w:rPr>
          <w:rFonts w:cstheme="minorHAnsi"/>
        </w:rPr>
        <w:t xml:space="preserve"> protective instruments in their own right</w:t>
      </w:r>
      <w:r>
        <w:rPr>
          <w:rFonts w:cstheme="minorHAnsi"/>
        </w:rPr>
        <w:t>. In turn, policies and legislation must translate into concrete plans for delivery against these commitments. PMNCH will advocate for, and track, better policies and plans in three areas</w:t>
      </w:r>
      <w:r w:rsidR="00395F2C">
        <w:rPr>
          <w:rFonts w:cstheme="minorHAnsi"/>
        </w:rPr>
        <w:t xml:space="preserve"> (with </w:t>
      </w:r>
      <w:r w:rsidR="00395F2C" w:rsidRPr="00B55AAE">
        <w:rPr>
          <w:rFonts w:cstheme="minorHAnsi"/>
        </w:rPr>
        <w:t>a focus on MNCH, SRHR</w:t>
      </w:r>
      <w:r w:rsidR="00395F2C">
        <w:rPr>
          <w:rFonts w:cstheme="minorHAnsi"/>
        </w:rPr>
        <w:t xml:space="preserve"> and</w:t>
      </w:r>
      <w:r w:rsidR="00395F2C" w:rsidRPr="00B55AAE">
        <w:rPr>
          <w:rFonts w:cstheme="minorHAnsi"/>
        </w:rPr>
        <w:t xml:space="preserve"> Adolescents</w:t>
      </w:r>
      <w:r w:rsidR="00395F2C">
        <w:rPr>
          <w:rFonts w:cstheme="minorHAnsi"/>
        </w:rPr>
        <w:t>)</w:t>
      </w:r>
      <w:r w:rsidR="006462F7">
        <w:rPr>
          <w:rFonts w:cstheme="minorHAnsi"/>
        </w:rPr>
        <w:t>.</w:t>
      </w:r>
    </w:p>
    <w:p w14:paraId="5BB669AE" w14:textId="54313A36" w:rsidR="0073174B" w:rsidRPr="00DE7D30" w:rsidRDefault="0073174B" w:rsidP="006462F7">
      <w:pPr>
        <w:pStyle w:val="ListParagraph"/>
        <w:numPr>
          <w:ilvl w:val="1"/>
          <w:numId w:val="26"/>
        </w:numPr>
        <w:ind w:left="993"/>
        <w:jc w:val="both"/>
        <w:rPr>
          <w:rFonts w:cstheme="minorHAnsi"/>
        </w:rPr>
      </w:pPr>
      <w:r w:rsidRPr="00716421">
        <w:rPr>
          <w:rFonts w:cstheme="minorHAnsi"/>
          <w:b/>
          <w:bCs/>
        </w:rPr>
        <w:t xml:space="preserve">WCAH present in </w:t>
      </w:r>
      <w:r w:rsidR="00C0729D">
        <w:rPr>
          <w:rFonts w:cstheme="minorHAnsi"/>
          <w:b/>
          <w:bCs/>
        </w:rPr>
        <w:t>national</w:t>
      </w:r>
      <w:r w:rsidRPr="00716421">
        <w:rPr>
          <w:rFonts w:cstheme="minorHAnsi"/>
          <w:b/>
          <w:bCs/>
        </w:rPr>
        <w:t xml:space="preserve"> plans</w:t>
      </w:r>
      <w:r w:rsidR="00FA4A09">
        <w:rPr>
          <w:rFonts w:cstheme="minorHAnsi"/>
          <w:b/>
          <w:bCs/>
        </w:rPr>
        <w:t xml:space="preserve"> and </w:t>
      </w:r>
      <w:r w:rsidRPr="00716421">
        <w:rPr>
          <w:rFonts w:cstheme="minorHAnsi"/>
          <w:b/>
          <w:bCs/>
        </w:rPr>
        <w:t>laws</w:t>
      </w:r>
      <w:r w:rsidR="00716421">
        <w:rPr>
          <w:rFonts w:cstheme="minorHAnsi"/>
        </w:rPr>
        <w:t xml:space="preserve"> </w:t>
      </w:r>
    </w:p>
    <w:p w14:paraId="2CEA82D0" w14:textId="77777777" w:rsidR="00F03596" w:rsidRPr="00F03596" w:rsidRDefault="0073174B" w:rsidP="006462F7">
      <w:pPr>
        <w:pStyle w:val="ListParagraph"/>
        <w:numPr>
          <w:ilvl w:val="1"/>
          <w:numId w:val="26"/>
        </w:numPr>
        <w:ind w:left="993"/>
        <w:jc w:val="both"/>
        <w:rPr>
          <w:rFonts w:cstheme="minorHAnsi"/>
        </w:rPr>
      </w:pPr>
      <w:r w:rsidRPr="00716421">
        <w:rPr>
          <w:rFonts w:cstheme="minorHAnsi"/>
          <w:b/>
          <w:bCs/>
        </w:rPr>
        <w:t>WCAH present in international agency goals, plans and agreements</w:t>
      </w:r>
    </w:p>
    <w:p w14:paraId="00012B01" w14:textId="31763471" w:rsidR="0073174B" w:rsidRPr="00DE7D30" w:rsidRDefault="00B1559D" w:rsidP="006462F7">
      <w:pPr>
        <w:pStyle w:val="ListParagraph"/>
        <w:numPr>
          <w:ilvl w:val="1"/>
          <w:numId w:val="26"/>
        </w:numPr>
        <w:ind w:left="993"/>
        <w:jc w:val="both"/>
        <w:rPr>
          <w:rFonts w:cstheme="minorHAnsi"/>
        </w:rPr>
      </w:pPr>
      <w:r>
        <w:rPr>
          <w:rFonts w:cstheme="minorHAnsi"/>
          <w:b/>
          <w:bCs/>
        </w:rPr>
        <w:t>R</w:t>
      </w:r>
      <w:r w:rsidR="00F03596">
        <w:rPr>
          <w:rFonts w:cstheme="minorHAnsi"/>
          <w:b/>
          <w:bCs/>
        </w:rPr>
        <w:t>ights</w:t>
      </w:r>
      <w:r>
        <w:rPr>
          <w:rFonts w:cstheme="minorHAnsi"/>
          <w:b/>
          <w:bCs/>
        </w:rPr>
        <w:t xml:space="preserve"> relating to WCAH upheld</w:t>
      </w:r>
      <w:r w:rsidR="00716421">
        <w:rPr>
          <w:rFonts w:cstheme="minorHAnsi"/>
        </w:rPr>
        <w:t xml:space="preserve"> </w:t>
      </w:r>
    </w:p>
    <w:p w14:paraId="0C00EEC2" w14:textId="42B1C56D" w:rsidR="0073174B" w:rsidRDefault="0073174B" w:rsidP="00B55AAE">
      <w:pPr>
        <w:contextualSpacing/>
        <w:jc w:val="both"/>
        <w:rPr>
          <w:rFonts w:cstheme="minorHAnsi"/>
        </w:rPr>
      </w:pPr>
    </w:p>
    <w:p w14:paraId="222DB8B8" w14:textId="40E9FBE3" w:rsidR="0073174B" w:rsidRPr="00202AA2" w:rsidRDefault="00716421" w:rsidP="00B55AAE">
      <w:pPr>
        <w:jc w:val="both"/>
        <w:rPr>
          <w:rFonts w:cstheme="minorHAnsi"/>
          <w:color w:val="2F5496" w:themeColor="accent1" w:themeShade="BF"/>
        </w:rPr>
      </w:pPr>
      <w:r w:rsidRPr="00202AA2">
        <w:rPr>
          <w:rFonts w:cstheme="minorHAnsi"/>
          <w:b/>
          <w:bCs/>
          <w:color w:val="2F5496" w:themeColor="accent1" w:themeShade="BF"/>
        </w:rPr>
        <w:t>B.</w:t>
      </w:r>
      <w:r w:rsidR="006462F7" w:rsidRPr="00202AA2">
        <w:rPr>
          <w:rFonts w:cstheme="minorHAnsi"/>
          <w:b/>
          <w:bCs/>
          <w:color w:val="2F5496" w:themeColor="accent1" w:themeShade="BF"/>
        </w:rPr>
        <w:tab/>
      </w:r>
      <w:r w:rsidR="0073174B" w:rsidRPr="00202AA2">
        <w:rPr>
          <w:rFonts w:cstheme="minorHAnsi"/>
          <w:b/>
          <w:bCs/>
          <w:color w:val="2F5496" w:themeColor="accent1" w:themeShade="BF"/>
        </w:rPr>
        <w:t>FINANCING: more and better financing for WCAH</w:t>
      </w:r>
      <w:r w:rsidR="00F64902" w:rsidRPr="00202AA2">
        <w:rPr>
          <w:rFonts w:cstheme="minorHAnsi"/>
          <w:b/>
          <w:bCs/>
          <w:color w:val="2F5496" w:themeColor="accent1" w:themeShade="BF"/>
        </w:rPr>
        <w:t xml:space="preserve"> </w:t>
      </w:r>
      <w:r w:rsidR="00F64902" w:rsidRPr="00202AA2">
        <w:rPr>
          <w:rFonts w:cstheme="minorHAnsi"/>
          <w:color w:val="2F5496" w:themeColor="accent1" w:themeShade="BF"/>
        </w:rPr>
        <w:t>(focus on MNCH, SRHR, Adolescents)</w:t>
      </w:r>
    </w:p>
    <w:p w14:paraId="1311D809" w14:textId="1645A167" w:rsidR="00716421" w:rsidRDefault="00716421" w:rsidP="00B55AAE">
      <w:pPr>
        <w:pStyle w:val="ListParagraph"/>
        <w:ind w:left="0"/>
        <w:jc w:val="both"/>
        <w:rPr>
          <w:rFonts w:cstheme="minorHAnsi"/>
        </w:rPr>
      </w:pPr>
    </w:p>
    <w:p w14:paraId="084DAEF5" w14:textId="79624D15" w:rsidR="00266153" w:rsidRDefault="00266153" w:rsidP="00B55AAE">
      <w:pPr>
        <w:pStyle w:val="ListParagraph"/>
        <w:ind w:left="0"/>
        <w:jc w:val="both"/>
        <w:rPr>
          <w:rFonts w:cstheme="minorHAnsi"/>
        </w:rPr>
      </w:pPr>
      <w:r>
        <w:rPr>
          <w:rFonts w:cstheme="minorHAnsi"/>
        </w:rPr>
        <w:t>More financing, including domestic financing, overseas development aid (ODA) and private flows – better aligned to need and to government priorities and more equitably allocated – will be critical to delivering better health outcomes for women, children and adolescents. PMNCH has considerable experience in advocating for, raising and tracking additional financing. This will continue to be a strong theme for the coming Strategy period. We will advocate for, and track, PMNCH’s contribution in three areas</w:t>
      </w:r>
      <w:r w:rsidR="00395F2C">
        <w:rPr>
          <w:rFonts w:cstheme="minorHAnsi"/>
        </w:rPr>
        <w:t xml:space="preserve"> (</w:t>
      </w:r>
      <w:r>
        <w:rPr>
          <w:rFonts w:cstheme="minorHAnsi"/>
        </w:rPr>
        <w:t xml:space="preserve">with </w:t>
      </w:r>
      <w:r w:rsidRPr="00B55AAE">
        <w:rPr>
          <w:rFonts w:cstheme="minorHAnsi"/>
        </w:rPr>
        <w:t>a focus on MNCH, SRHR</w:t>
      </w:r>
      <w:r>
        <w:rPr>
          <w:rFonts w:cstheme="minorHAnsi"/>
        </w:rPr>
        <w:t xml:space="preserve"> and</w:t>
      </w:r>
      <w:r w:rsidRPr="00B55AAE">
        <w:rPr>
          <w:rFonts w:cstheme="minorHAnsi"/>
        </w:rPr>
        <w:t xml:space="preserve"> Adolescents</w:t>
      </w:r>
      <w:r w:rsidR="00395F2C">
        <w:rPr>
          <w:rFonts w:cstheme="minorHAnsi"/>
        </w:rPr>
        <w:t>)</w:t>
      </w:r>
      <w:r w:rsidR="006462F7">
        <w:rPr>
          <w:rFonts w:cstheme="minorHAnsi"/>
        </w:rPr>
        <w:t>.</w:t>
      </w:r>
    </w:p>
    <w:p w14:paraId="4B340EB9" w14:textId="77777777" w:rsidR="00947148" w:rsidRDefault="00947148" w:rsidP="00B55AAE">
      <w:pPr>
        <w:pStyle w:val="ListParagraph"/>
        <w:ind w:left="0"/>
        <w:jc w:val="both"/>
        <w:rPr>
          <w:rFonts w:cstheme="minorHAnsi"/>
        </w:rPr>
      </w:pPr>
    </w:p>
    <w:p w14:paraId="4F142EA7" w14:textId="2113DB5E" w:rsidR="0073174B" w:rsidRPr="00DE7D30" w:rsidRDefault="00716421" w:rsidP="006462F7">
      <w:pPr>
        <w:pStyle w:val="ListParagraph"/>
        <w:numPr>
          <w:ilvl w:val="1"/>
          <w:numId w:val="27"/>
        </w:numPr>
        <w:ind w:left="993"/>
        <w:jc w:val="both"/>
        <w:rPr>
          <w:rFonts w:cstheme="minorHAnsi"/>
        </w:rPr>
      </w:pPr>
      <w:r w:rsidRPr="00716421">
        <w:rPr>
          <w:rFonts w:cstheme="minorHAnsi"/>
          <w:b/>
          <w:bCs/>
        </w:rPr>
        <w:t>I</w:t>
      </w:r>
      <w:r w:rsidR="0073174B" w:rsidRPr="00716421">
        <w:rPr>
          <w:rFonts w:cstheme="minorHAnsi"/>
          <w:b/>
          <w:bCs/>
        </w:rPr>
        <w:t>ncreased domestic financing to WCAH</w:t>
      </w:r>
      <w:r>
        <w:rPr>
          <w:rFonts w:cstheme="minorHAnsi"/>
        </w:rPr>
        <w:t xml:space="preserve"> </w:t>
      </w:r>
    </w:p>
    <w:p w14:paraId="544EA544" w14:textId="03319AFF" w:rsidR="0073174B" w:rsidRPr="00DE7D30" w:rsidRDefault="00716421" w:rsidP="006462F7">
      <w:pPr>
        <w:pStyle w:val="ListParagraph"/>
        <w:numPr>
          <w:ilvl w:val="1"/>
          <w:numId w:val="27"/>
        </w:numPr>
        <w:ind w:left="993"/>
        <w:jc w:val="both"/>
        <w:rPr>
          <w:rFonts w:cstheme="minorHAnsi"/>
        </w:rPr>
      </w:pPr>
      <w:r w:rsidRPr="00716421">
        <w:rPr>
          <w:rFonts w:cstheme="minorHAnsi"/>
          <w:b/>
          <w:bCs/>
        </w:rPr>
        <w:t>I</w:t>
      </w:r>
      <w:r w:rsidR="0073174B" w:rsidRPr="00716421">
        <w:rPr>
          <w:rFonts w:cstheme="minorHAnsi"/>
          <w:b/>
          <w:bCs/>
        </w:rPr>
        <w:t>ncreased ODA to WCAH</w:t>
      </w:r>
      <w:r>
        <w:rPr>
          <w:rFonts w:cstheme="minorHAnsi"/>
        </w:rPr>
        <w:t xml:space="preserve"> </w:t>
      </w:r>
    </w:p>
    <w:p w14:paraId="24338B48" w14:textId="11D35781" w:rsidR="0073174B" w:rsidRPr="00DE7D30" w:rsidRDefault="00716421" w:rsidP="006462F7">
      <w:pPr>
        <w:pStyle w:val="ListParagraph"/>
        <w:numPr>
          <w:ilvl w:val="1"/>
          <w:numId w:val="27"/>
        </w:numPr>
        <w:ind w:left="993"/>
        <w:jc w:val="both"/>
        <w:rPr>
          <w:rFonts w:cstheme="minorHAnsi"/>
        </w:rPr>
      </w:pPr>
      <w:r w:rsidRPr="00716421">
        <w:rPr>
          <w:rFonts w:cstheme="minorHAnsi"/>
          <w:b/>
          <w:bCs/>
        </w:rPr>
        <w:t>I</w:t>
      </w:r>
      <w:r w:rsidR="0073174B" w:rsidRPr="00716421">
        <w:rPr>
          <w:rFonts w:cstheme="minorHAnsi"/>
          <w:b/>
          <w:bCs/>
        </w:rPr>
        <w:t>ncreased &amp; aligned private sector investment</w:t>
      </w:r>
      <w:r>
        <w:rPr>
          <w:rFonts w:cstheme="minorHAnsi"/>
        </w:rPr>
        <w:t xml:space="preserve"> </w:t>
      </w:r>
    </w:p>
    <w:p w14:paraId="204F6DA3" w14:textId="5AE795CA" w:rsidR="0073174B" w:rsidRPr="00DE7D30" w:rsidRDefault="0073174B" w:rsidP="00B55AAE">
      <w:pPr>
        <w:contextualSpacing/>
        <w:jc w:val="both"/>
        <w:rPr>
          <w:rFonts w:cstheme="minorHAnsi"/>
        </w:rPr>
      </w:pPr>
    </w:p>
    <w:p w14:paraId="4BE53C03" w14:textId="78A380EA" w:rsidR="0073174B" w:rsidRPr="00202AA2" w:rsidRDefault="00716421" w:rsidP="00B55AAE">
      <w:pPr>
        <w:jc w:val="both"/>
        <w:rPr>
          <w:rFonts w:cstheme="minorHAnsi"/>
          <w:color w:val="2F5496" w:themeColor="accent1" w:themeShade="BF"/>
        </w:rPr>
      </w:pPr>
      <w:r w:rsidRPr="00202AA2">
        <w:rPr>
          <w:rFonts w:cstheme="minorHAnsi"/>
          <w:b/>
          <w:bCs/>
          <w:color w:val="2F5496" w:themeColor="accent1" w:themeShade="BF"/>
        </w:rPr>
        <w:t>C.</w:t>
      </w:r>
      <w:r w:rsidR="006462F7" w:rsidRPr="00202AA2">
        <w:rPr>
          <w:rFonts w:cstheme="minorHAnsi"/>
          <w:b/>
          <w:bCs/>
          <w:color w:val="2F5496" w:themeColor="accent1" w:themeShade="BF"/>
        </w:rPr>
        <w:tab/>
      </w:r>
      <w:r w:rsidR="0073174B" w:rsidRPr="00202AA2">
        <w:rPr>
          <w:rFonts w:cstheme="minorHAnsi"/>
          <w:b/>
          <w:bCs/>
          <w:color w:val="2F5496" w:themeColor="accent1" w:themeShade="BF"/>
        </w:rPr>
        <w:t xml:space="preserve">SERVICES: </w:t>
      </w:r>
      <w:r w:rsidR="00A20408">
        <w:rPr>
          <w:rFonts w:cstheme="minorHAnsi"/>
          <w:b/>
          <w:bCs/>
          <w:color w:val="2F5496" w:themeColor="accent1" w:themeShade="BF"/>
        </w:rPr>
        <w:t>i</w:t>
      </w:r>
      <w:r w:rsidR="0073174B" w:rsidRPr="00202AA2">
        <w:rPr>
          <w:rFonts w:cstheme="minorHAnsi"/>
          <w:b/>
          <w:bCs/>
          <w:color w:val="2F5496" w:themeColor="accent1" w:themeShade="BF"/>
        </w:rPr>
        <w:t xml:space="preserve">ncreased </w:t>
      </w:r>
      <w:r w:rsidR="00B55AAE" w:rsidRPr="00202AA2">
        <w:rPr>
          <w:rFonts w:cstheme="minorHAnsi"/>
          <w:b/>
          <w:bCs/>
          <w:color w:val="2F5496" w:themeColor="accent1" w:themeShade="BF"/>
        </w:rPr>
        <w:t xml:space="preserve">and more equitable </w:t>
      </w:r>
      <w:r w:rsidR="0073174B" w:rsidRPr="00202AA2">
        <w:rPr>
          <w:rFonts w:cstheme="minorHAnsi"/>
          <w:b/>
          <w:bCs/>
          <w:color w:val="2F5496" w:themeColor="accent1" w:themeShade="BF"/>
        </w:rPr>
        <w:t xml:space="preserve">coverage </w:t>
      </w:r>
      <w:r w:rsidR="00EA4E5D">
        <w:rPr>
          <w:rFonts w:cstheme="minorHAnsi"/>
          <w:b/>
          <w:bCs/>
          <w:color w:val="2F5496" w:themeColor="accent1" w:themeShade="BF"/>
        </w:rPr>
        <w:t xml:space="preserve">and </w:t>
      </w:r>
      <w:r w:rsidR="00FC4CD3">
        <w:rPr>
          <w:rFonts w:cstheme="minorHAnsi"/>
          <w:b/>
          <w:bCs/>
          <w:color w:val="2F5496" w:themeColor="accent1" w:themeShade="BF"/>
        </w:rPr>
        <w:t xml:space="preserve">uptake </w:t>
      </w:r>
      <w:r w:rsidR="0073174B" w:rsidRPr="00202AA2">
        <w:rPr>
          <w:rFonts w:cstheme="minorHAnsi"/>
          <w:b/>
          <w:bCs/>
          <w:color w:val="2F5496" w:themeColor="accent1" w:themeShade="BF"/>
        </w:rPr>
        <w:t>of quality services</w:t>
      </w:r>
      <w:r w:rsidR="00B55AAE" w:rsidRPr="00202AA2">
        <w:rPr>
          <w:rFonts w:cstheme="minorHAnsi"/>
          <w:b/>
          <w:bCs/>
          <w:color w:val="2F5496" w:themeColor="accent1" w:themeShade="BF"/>
        </w:rPr>
        <w:t xml:space="preserve"> for WCAH</w:t>
      </w:r>
      <w:r w:rsidR="00F64902" w:rsidRPr="00202AA2">
        <w:rPr>
          <w:rFonts w:cstheme="minorHAnsi"/>
          <w:color w:val="2F5496" w:themeColor="accent1" w:themeShade="BF"/>
        </w:rPr>
        <w:t xml:space="preserve"> </w:t>
      </w:r>
      <w:r w:rsidR="00FC4CD3">
        <w:rPr>
          <w:rFonts w:cstheme="minorHAnsi"/>
          <w:color w:val="2F5496" w:themeColor="accent1" w:themeShade="BF"/>
        </w:rPr>
        <w:tab/>
      </w:r>
      <w:r w:rsidR="00F64902" w:rsidRPr="00202AA2">
        <w:rPr>
          <w:rFonts w:cstheme="minorHAnsi"/>
          <w:color w:val="2F5496" w:themeColor="accent1" w:themeShade="BF"/>
        </w:rPr>
        <w:t>(focus on MNCH, SRHR, Adolescents)</w:t>
      </w:r>
    </w:p>
    <w:p w14:paraId="7051CD47" w14:textId="2A912332" w:rsidR="00716421" w:rsidRDefault="00716421" w:rsidP="00B55AAE">
      <w:pPr>
        <w:pStyle w:val="ListParagraph"/>
        <w:ind w:left="0"/>
        <w:jc w:val="both"/>
        <w:rPr>
          <w:rFonts w:cstheme="minorHAnsi"/>
        </w:rPr>
      </w:pPr>
    </w:p>
    <w:p w14:paraId="2184F53F" w14:textId="19D97BCD" w:rsidR="00266153" w:rsidRDefault="00266153" w:rsidP="006462F7">
      <w:pPr>
        <w:pStyle w:val="ListParagraph"/>
        <w:ind w:left="0"/>
        <w:jc w:val="both"/>
        <w:rPr>
          <w:rFonts w:cstheme="minorHAnsi"/>
        </w:rPr>
      </w:pPr>
      <w:r>
        <w:rPr>
          <w:rFonts w:cstheme="minorHAnsi"/>
        </w:rPr>
        <w:t xml:space="preserve">Policies and legislation (Outcome A) and financing (Outcome B) must be translated into increased </w:t>
      </w:r>
      <w:r w:rsidR="00D45127">
        <w:rPr>
          <w:rFonts w:cstheme="minorHAnsi"/>
        </w:rPr>
        <w:t xml:space="preserve">quality </w:t>
      </w:r>
      <w:r>
        <w:rPr>
          <w:rFonts w:cstheme="minorHAnsi"/>
        </w:rPr>
        <w:t xml:space="preserve">and more equitable coverage </w:t>
      </w:r>
      <w:r w:rsidR="00FC4CD3">
        <w:rPr>
          <w:rFonts w:cstheme="minorHAnsi"/>
        </w:rPr>
        <w:t xml:space="preserve">and uptake </w:t>
      </w:r>
      <w:r>
        <w:rPr>
          <w:rFonts w:cstheme="minorHAnsi"/>
        </w:rPr>
        <w:t xml:space="preserve">of services </w:t>
      </w:r>
      <w:r w:rsidR="00395F2C">
        <w:rPr>
          <w:rFonts w:cstheme="minorHAnsi"/>
        </w:rPr>
        <w:t>(Outcome C)</w:t>
      </w:r>
      <w:r>
        <w:rPr>
          <w:rFonts w:cstheme="minorHAnsi"/>
        </w:rPr>
        <w:t xml:space="preserve">, in order to translate into better health outcomes. PMNCH will particularly focus on the coverage </w:t>
      </w:r>
      <w:r w:rsidRPr="00266153">
        <w:rPr>
          <w:rFonts w:cstheme="minorHAnsi"/>
        </w:rPr>
        <w:t xml:space="preserve">of essential interventions for </w:t>
      </w:r>
      <w:r w:rsidR="006462F7">
        <w:rPr>
          <w:rFonts w:cstheme="minorHAnsi"/>
        </w:rPr>
        <w:t>women, children and adolescents</w:t>
      </w:r>
      <w:r w:rsidR="006462F7" w:rsidRPr="00266153">
        <w:rPr>
          <w:rFonts w:cstheme="minorHAnsi"/>
        </w:rPr>
        <w:t xml:space="preserve"> </w:t>
      </w:r>
      <w:r w:rsidRPr="00266153">
        <w:rPr>
          <w:rFonts w:cstheme="minorHAnsi"/>
        </w:rPr>
        <w:t>in Primary Health Care</w:t>
      </w:r>
      <w:r w:rsidR="006462F7">
        <w:rPr>
          <w:rFonts w:cstheme="minorHAnsi"/>
        </w:rPr>
        <w:t>, as part of</w:t>
      </w:r>
      <w:r w:rsidRPr="00266153">
        <w:rPr>
          <w:rFonts w:cstheme="minorHAnsi"/>
        </w:rPr>
        <w:t xml:space="preserve"> Universal Health Coverage</w:t>
      </w:r>
      <w:r w:rsidR="006462F7">
        <w:rPr>
          <w:rFonts w:cstheme="minorHAnsi"/>
        </w:rPr>
        <w:t xml:space="preserve">. We will also advocate for and track the number and equitable distribution of health care professionals, with a particular </w:t>
      </w:r>
      <w:r w:rsidR="00170D2C">
        <w:rPr>
          <w:rFonts w:cstheme="minorHAnsi"/>
        </w:rPr>
        <w:t xml:space="preserve">focus </w:t>
      </w:r>
      <w:r w:rsidR="006462F7">
        <w:rPr>
          <w:rFonts w:cstheme="minorHAnsi"/>
        </w:rPr>
        <w:t xml:space="preserve">on </w:t>
      </w:r>
      <w:r w:rsidR="00D45127">
        <w:rPr>
          <w:rFonts w:cstheme="minorHAnsi"/>
        </w:rPr>
        <w:t>midwives and nurses</w:t>
      </w:r>
      <w:r w:rsidR="006462F7">
        <w:rPr>
          <w:rFonts w:cstheme="minorHAnsi"/>
        </w:rPr>
        <w:t>.</w:t>
      </w:r>
    </w:p>
    <w:p w14:paraId="476F3326" w14:textId="77777777" w:rsidR="006F1FC2" w:rsidRPr="00266153" w:rsidRDefault="006F1FC2" w:rsidP="006462F7">
      <w:pPr>
        <w:pStyle w:val="ListParagraph"/>
        <w:ind w:left="0"/>
        <w:jc w:val="both"/>
        <w:rPr>
          <w:rFonts w:cstheme="minorHAnsi"/>
        </w:rPr>
      </w:pPr>
    </w:p>
    <w:p w14:paraId="343C1C74" w14:textId="28B6F8D8" w:rsidR="0073174B" w:rsidRPr="00DE7D30" w:rsidRDefault="00716421" w:rsidP="006462F7">
      <w:pPr>
        <w:pStyle w:val="ListParagraph"/>
        <w:numPr>
          <w:ilvl w:val="1"/>
          <w:numId w:val="28"/>
        </w:numPr>
        <w:ind w:left="993"/>
        <w:jc w:val="both"/>
        <w:rPr>
          <w:rFonts w:cstheme="minorHAnsi"/>
        </w:rPr>
      </w:pPr>
      <w:r w:rsidRPr="00716421">
        <w:rPr>
          <w:rFonts w:cstheme="minorHAnsi"/>
          <w:b/>
          <w:bCs/>
        </w:rPr>
        <w:t>I</w:t>
      </w:r>
      <w:r w:rsidR="0073174B" w:rsidRPr="00716421">
        <w:rPr>
          <w:rFonts w:cstheme="minorHAnsi"/>
          <w:b/>
          <w:bCs/>
        </w:rPr>
        <w:t>ncreased coverage of essential interventions for WCAH in P</w:t>
      </w:r>
      <w:r w:rsidRPr="00716421">
        <w:rPr>
          <w:rFonts w:cstheme="minorHAnsi"/>
          <w:b/>
          <w:bCs/>
        </w:rPr>
        <w:t xml:space="preserve">rimary </w:t>
      </w:r>
      <w:r w:rsidR="0073174B" w:rsidRPr="00716421">
        <w:rPr>
          <w:rFonts w:cstheme="minorHAnsi"/>
          <w:b/>
          <w:bCs/>
        </w:rPr>
        <w:t>H</w:t>
      </w:r>
      <w:r w:rsidRPr="00716421">
        <w:rPr>
          <w:rFonts w:cstheme="minorHAnsi"/>
          <w:b/>
          <w:bCs/>
        </w:rPr>
        <w:t xml:space="preserve">ealth </w:t>
      </w:r>
      <w:r w:rsidR="0073174B" w:rsidRPr="00716421">
        <w:rPr>
          <w:rFonts w:cstheme="minorHAnsi"/>
          <w:b/>
          <w:bCs/>
        </w:rPr>
        <w:t>C</w:t>
      </w:r>
      <w:r w:rsidRPr="00716421">
        <w:rPr>
          <w:rFonts w:cstheme="minorHAnsi"/>
          <w:b/>
          <w:bCs/>
        </w:rPr>
        <w:t>are</w:t>
      </w:r>
      <w:r w:rsidR="0073174B" w:rsidRPr="00716421">
        <w:rPr>
          <w:rFonts w:cstheme="minorHAnsi"/>
          <w:b/>
          <w:bCs/>
        </w:rPr>
        <w:t xml:space="preserve"> </w:t>
      </w:r>
      <w:r w:rsidRPr="00716421">
        <w:rPr>
          <w:rFonts w:cstheme="minorHAnsi"/>
          <w:b/>
          <w:bCs/>
        </w:rPr>
        <w:t>and</w:t>
      </w:r>
      <w:r w:rsidR="0073174B" w:rsidRPr="00716421">
        <w:rPr>
          <w:rFonts w:cstheme="minorHAnsi"/>
          <w:b/>
          <w:bCs/>
        </w:rPr>
        <w:t xml:space="preserve"> U</w:t>
      </w:r>
      <w:r w:rsidRPr="00716421">
        <w:rPr>
          <w:rFonts w:cstheme="minorHAnsi"/>
          <w:b/>
          <w:bCs/>
        </w:rPr>
        <w:t xml:space="preserve">niversal </w:t>
      </w:r>
      <w:r w:rsidR="0073174B" w:rsidRPr="00716421">
        <w:rPr>
          <w:rFonts w:cstheme="minorHAnsi"/>
          <w:b/>
          <w:bCs/>
        </w:rPr>
        <w:t>H</w:t>
      </w:r>
      <w:r w:rsidRPr="00716421">
        <w:rPr>
          <w:rFonts w:cstheme="minorHAnsi"/>
          <w:b/>
          <w:bCs/>
        </w:rPr>
        <w:t xml:space="preserve">ealth </w:t>
      </w:r>
      <w:r w:rsidR="0073174B" w:rsidRPr="00716421">
        <w:rPr>
          <w:rFonts w:cstheme="minorHAnsi"/>
          <w:b/>
          <w:bCs/>
        </w:rPr>
        <w:t>C</w:t>
      </w:r>
      <w:r w:rsidRPr="00716421">
        <w:rPr>
          <w:rFonts w:cstheme="minorHAnsi"/>
          <w:b/>
          <w:bCs/>
        </w:rPr>
        <w:t>overage</w:t>
      </w:r>
      <w:r>
        <w:rPr>
          <w:rFonts w:cstheme="minorHAnsi"/>
        </w:rPr>
        <w:t xml:space="preserve"> </w:t>
      </w:r>
    </w:p>
    <w:p w14:paraId="2BA278E9" w14:textId="0E7537A9" w:rsidR="00266153" w:rsidRPr="009D65C6" w:rsidRDefault="00716421" w:rsidP="006462F7">
      <w:pPr>
        <w:pStyle w:val="ListParagraph"/>
        <w:numPr>
          <w:ilvl w:val="1"/>
          <w:numId w:val="28"/>
        </w:numPr>
        <w:ind w:left="993"/>
        <w:jc w:val="both"/>
        <w:rPr>
          <w:rFonts w:cstheme="minorHAnsi"/>
        </w:rPr>
      </w:pPr>
      <w:r w:rsidRPr="00716421">
        <w:rPr>
          <w:rFonts w:cstheme="minorHAnsi"/>
          <w:b/>
          <w:bCs/>
        </w:rPr>
        <w:t>I</w:t>
      </w:r>
      <w:r w:rsidR="0073174B" w:rsidRPr="00716421">
        <w:rPr>
          <w:rFonts w:cstheme="minorHAnsi"/>
          <w:b/>
          <w:bCs/>
        </w:rPr>
        <w:t xml:space="preserve">ncreased number of </w:t>
      </w:r>
      <w:r w:rsidR="00D45127">
        <w:rPr>
          <w:rFonts w:cstheme="minorHAnsi"/>
          <w:b/>
          <w:bCs/>
        </w:rPr>
        <w:t>midwives and nurses</w:t>
      </w:r>
    </w:p>
    <w:p w14:paraId="41E502EB" w14:textId="56ADF606" w:rsidR="009D65C6" w:rsidRPr="00A95BB4" w:rsidRDefault="009D65C6" w:rsidP="006462F7">
      <w:pPr>
        <w:pStyle w:val="ListParagraph"/>
        <w:numPr>
          <w:ilvl w:val="1"/>
          <w:numId w:val="28"/>
        </w:numPr>
        <w:ind w:left="993"/>
        <w:jc w:val="both"/>
        <w:rPr>
          <w:rFonts w:cstheme="minorHAnsi"/>
        </w:rPr>
      </w:pPr>
      <w:r w:rsidRPr="00A95BB4">
        <w:rPr>
          <w:rFonts w:cstheme="minorHAnsi"/>
          <w:b/>
          <w:bCs/>
        </w:rPr>
        <w:t>Increased access to essential medicines and commodities</w:t>
      </w:r>
    </w:p>
    <w:p w14:paraId="1C898403" w14:textId="5CE9E18A" w:rsidR="00947148" w:rsidRDefault="00D45127" w:rsidP="00B15F00">
      <w:pPr>
        <w:pStyle w:val="ListParagraph"/>
        <w:numPr>
          <w:ilvl w:val="1"/>
          <w:numId w:val="28"/>
        </w:numPr>
        <w:ind w:left="993"/>
        <w:jc w:val="both"/>
        <w:rPr>
          <w:rFonts w:cstheme="minorHAnsi"/>
          <w:b/>
          <w:bCs/>
          <w:color w:val="2F5496" w:themeColor="accent1" w:themeShade="BF"/>
        </w:rPr>
      </w:pPr>
      <w:r w:rsidRPr="00947148">
        <w:rPr>
          <w:rFonts w:cstheme="minorHAnsi"/>
          <w:b/>
          <w:bCs/>
        </w:rPr>
        <w:t>Improved quality</w:t>
      </w:r>
      <w:r w:rsidR="009D65C6" w:rsidRPr="00947148">
        <w:rPr>
          <w:rFonts w:cstheme="minorHAnsi"/>
          <w:b/>
          <w:bCs/>
        </w:rPr>
        <w:t xml:space="preserve"> and uptake</w:t>
      </w:r>
      <w:r w:rsidRPr="00947148">
        <w:rPr>
          <w:rFonts w:cstheme="minorHAnsi"/>
          <w:b/>
          <w:bCs/>
        </w:rPr>
        <w:t xml:space="preserve"> of services</w:t>
      </w:r>
    </w:p>
    <w:p w14:paraId="158321FD" w14:textId="180E11CF" w:rsidR="00947148" w:rsidRDefault="00947148" w:rsidP="00947148">
      <w:pPr>
        <w:jc w:val="both"/>
        <w:rPr>
          <w:rFonts w:cstheme="minorHAnsi"/>
          <w:b/>
          <w:bCs/>
          <w:color w:val="2F5496" w:themeColor="accent1" w:themeShade="BF"/>
        </w:rPr>
      </w:pPr>
    </w:p>
    <w:p w14:paraId="6ECDFD80" w14:textId="77777777" w:rsidR="00947148" w:rsidRPr="00947148" w:rsidRDefault="00947148" w:rsidP="00947148">
      <w:pPr>
        <w:jc w:val="both"/>
        <w:rPr>
          <w:rFonts w:cstheme="minorHAnsi"/>
          <w:b/>
          <w:bCs/>
          <w:color w:val="2F5496" w:themeColor="accent1" w:themeShade="BF"/>
        </w:rPr>
      </w:pPr>
    </w:p>
    <w:p w14:paraId="76C79155" w14:textId="0F7EFB80" w:rsidR="00E61D88" w:rsidRPr="00947148" w:rsidRDefault="00DE7D30" w:rsidP="00947148">
      <w:pPr>
        <w:jc w:val="both"/>
        <w:rPr>
          <w:rFonts w:cstheme="minorHAnsi"/>
          <w:b/>
          <w:bCs/>
          <w:color w:val="2F5496" w:themeColor="accent1" w:themeShade="BF"/>
        </w:rPr>
      </w:pPr>
      <w:r w:rsidRPr="00947148">
        <w:rPr>
          <w:rFonts w:cstheme="minorHAnsi"/>
          <w:b/>
          <w:bCs/>
          <w:color w:val="2F5496" w:themeColor="accent1" w:themeShade="BF"/>
        </w:rPr>
        <w:t>8.</w:t>
      </w:r>
      <w:r w:rsidRPr="00947148">
        <w:rPr>
          <w:rFonts w:cstheme="minorHAnsi"/>
          <w:b/>
          <w:bCs/>
          <w:color w:val="2F5496" w:themeColor="accent1" w:themeShade="BF"/>
        </w:rPr>
        <w:tab/>
      </w:r>
      <w:r w:rsidR="002E2A33" w:rsidRPr="00947148">
        <w:rPr>
          <w:rFonts w:cstheme="minorHAnsi"/>
          <w:b/>
          <w:bCs/>
          <w:color w:val="2F5496" w:themeColor="accent1" w:themeShade="BF"/>
        </w:rPr>
        <w:t>GOVERNANCE</w:t>
      </w:r>
      <w:r w:rsidR="00B067F7" w:rsidRPr="00947148">
        <w:rPr>
          <w:rFonts w:cstheme="minorHAnsi"/>
          <w:b/>
          <w:bCs/>
          <w:color w:val="2F5496" w:themeColor="accent1" w:themeShade="BF"/>
        </w:rPr>
        <w:t xml:space="preserve"> &amp; </w:t>
      </w:r>
      <w:r w:rsidR="00B46A4C" w:rsidRPr="00947148">
        <w:rPr>
          <w:rFonts w:cstheme="minorHAnsi"/>
          <w:b/>
          <w:bCs/>
          <w:color w:val="2F5496" w:themeColor="accent1" w:themeShade="BF"/>
        </w:rPr>
        <w:t>MANAGEMENT</w:t>
      </w:r>
    </w:p>
    <w:p w14:paraId="03A72D4D" w14:textId="77777777" w:rsidR="00B70504" w:rsidRDefault="00B70504" w:rsidP="00897FE9">
      <w:pPr>
        <w:pStyle w:val="ListParagraph"/>
        <w:ind w:left="0"/>
        <w:jc w:val="both"/>
        <w:rPr>
          <w:rFonts w:cstheme="minorHAnsi"/>
        </w:rPr>
      </w:pPr>
    </w:p>
    <w:p w14:paraId="08DCCFF8" w14:textId="77777777" w:rsidR="004D4415" w:rsidRDefault="004D4415" w:rsidP="00897FE9">
      <w:pPr>
        <w:jc w:val="both"/>
        <w:rPr>
          <w:rFonts w:cstheme="minorHAnsi"/>
          <w:color w:val="2F5496" w:themeColor="accent1" w:themeShade="BF"/>
        </w:rPr>
      </w:pPr>
      <w:r w:rsidRPr="00E40FA1">
        <w:rPr>
          <w:rFonts w:cstheme="minorHAnsi"/>
          <w:b/>
          <w:bCs/>
          <w:color w:val="2F5496" w:themeColor="accent1" w:themeShade="BF"/>
        </w:rPr>
        <w:t>Governance</w:t>
      </w:r>
    </w:p>
    <w:p w14:paraId="25D354E2" w14:textId="0C930E7B" w:rsidR="004D4415" w:rsidRDefault="004D4415" w:rsidP="006868A7">
      <w:pPr>
        <w:contextualSpacing/>
        <w:jc w:val="both"/>
        <w:rPr>
          <w:rFonts w:cstheme="minorHAnsi"/>
        </w:rPr>
      </w:pPr>
    </w:p>
    <w:p w14:paraId="03BB0557" w14:textId="2F3B9898" w:rsidR="006868A7" w:rsidRPr="00A95BB4" w:rsidRDefault="006868A7" w:rsidP="006868A7">
      <w:pPr>
        <w:contextualSpacing/>
        <w:jc w:val="both"/>
        <w:rPr>
          <w:rFonts w:eastAsia="Times New Roman" w:cstheme="minorHAnsi"/>
          <w:lang w:val="en-US" w:eastAsia="it-IT"/>
        </w:rPr>
      </w:pPr>
      <w:r w:rsidRPr="00A95BB4">
        <w:rPr>
          <w:rFonts w:cstheme="minorHAnsi"/>
        </w:rPr>
        <w:t>PMNCH’s core asset is the breadth and diversity of its partners. However, the 2019/20 external evaluation found that PMNCH’s governance has become heavy and time-intensive</w:t>
      </w:r>
      <w:r w:rsidR="00C02240">
        <w:rPr>
          <w:rFonts w:cstheme="minorHAnsi"/>
        </w:rPr>
        <w:t>,</w:t>
      </w:r>
      <w:r w:rsidRPr="00A95BB4">
        <w:rPr>
          <w:rFonts w:cstheme="minorHAnsi"/>
        </w:rPr>
        <w:t xml:space="preserve"> with structures poorly understood by its partners. </w:t>
      </w:r>
      <w:r w:rsidR="00947148">
        <w:rPr>
          <w:rFonts w:cstheme="minorHAnsi"/>
        </w:rPr>
        <w:t>The governance structures will be</w:t>
      </w:r>
      <w:r w:rsidRPr="00A95BB4">
        <w:rPr>
          <w:rFonts w:cstheme="minorHAnsi"/>
        </w:rPr>
        <w:t xml:space="preserve"> streamlin</w:t>
      </w:r>
      <w:r w:rsidR="00947148">
        <w:rPr>
          <w:rFonts w:cstheme="minorHAnsi"/>
        </w:rPr>
        <w:t>ed</w:t>
      </w:r>
      <w:r w:rsidRPr="00A95BB4">
        <w:rPr>
          <w:rFonts w:cstheme="minorHAnsi"/>
        </w:rPr>
        <w:t xml:space="preserve"> and restructur</w:t>
      </w:r>
      <w:r w:rsidR="00947148">
        <w:rPr>
          <w:rFonts w:cstheme="minorHAnsi"/>
        </w:rPr>
        <w:t>ed</w:t>
      </w:r>
      <w:r w:rsidRPr="00A95BB4">
        <w:rPr>
          <w:rFonts w:cstheme="minorHAnsi"/>
        </w:rPr>
        <w:t xml:space="preserve"> while retaining the core strength of the partnership. </w:t>
      </w:r>
    </w:p>
    <w:p w14:paraId="714BAA44" w14:textId="77777777" w:rsidR="006868A7" w:rsidRPr="00A95BB4" w:rsidRDefault="006868A7" w:rsidP="006868A7">
      <w:pPr>
        <w:contextualSpacing/>
        <w:jc w:val="both"/>
        <w:rPr>
          <w:rFonts w:cstheme="minorHAnsi"/>
        </w:rPr>
      </w:pPr>
    </w:p>
    <w:p w14:paraId="009F49D9" w14:textId="689F7008" w:rsidR="006868A7" w:rsidRPr="00405E2D" w:rsidRDefault="006868A7" w:rsidP="006868A7">
      <w:pPr>
        <w:contextualSpacing/>
        <w:jc w:val="both"/>
        <w:rPr>
          <w:rFonts w:cstheme="minorHAnsi"/>
        </w:rPr>
      </w:pPr>
      <w:r w:rsidRPr="00A95BB4">
        <w:rPr>
          <w:rFonts w:cstheme="minorHAnsi"/>
        </w:rPr>
        <w:t xml:space="preserve">PMNCH will adapt our governance reforms looking at the functions, size, Constituency structure and Committee structure of the Board, as well as the frequency and type of meetings, especially taking advantage of the opportunities presented by a digital and virtual environment. For the future, meetings of the PMNCH Board will be a mix of virtual and </w:t>
      </w:r>
      <w:r w:rsidR="00C02240" w:rsidRPr="00A95BB4">
        <w:rPr>
          <w:rFonts w:cstheme="minorHAnsi"/>
        </w:rPr>
        <w:t>in</w:t>
      </w:r>
      <w:r w:rsidR="00C02240">
        <w:rPr>
          <w:rFonts w:cstheme="minorHAnsi"/>
        </w:rPr>
        <w:t>-</w:t>
      </w:r>
      <w:r w:rsidRPr="00A95BB4">
        <w:rPr>
          <w:rFonts w:cstheme="minorHAnsi"/>
        </w:rPr>
        <w:t>person</w:t>
      </w:r>
      <w:r w:rsidR="00C02240">
        <w:rPr>
          <w:rFonts w:cstheme="minorHAnsi"/>
        </w:rPr>
        <w:t>,</w:t>
      </w:r>
      <w:r w:rsidRPr="00A95BB4">
        <w:rPr>
          <w:rFonts w:cstheme="minorHAnsi"/>
        </w:rPr>
        <w:t xml:space="preserve"> capitalizing on the ongoing digitalisation of the membership and partner engagement. There will also be a re</w:t>
      </w:r>
      <w:r w:rsidR="00405E2D" w:rsidRPr="00A95BB4">
        <w:rPr>
          <w:rFonts w:cstheme="minorHAnsi"/>
        </w:rPr>
        <w:t>vision</w:t>
      </w:r>
      <w:r w:rsidRPr="00A95BB4">
        <w:rPr>
          <w:rFonts w:cstheme="minorHAnsi"/>
        </w:rPr>
        <w:t xml:space="preserve"> of the Board manual once the optimal governance structure is agreed on by the PMNCH Board.</w:t>
      </w:r>
    </w:p>
    <w:p w14:paraId="277623D8" w14:textId="77777777" w:rsidR="006868A7" w:rsidRDefault="006868A7" w:rsidP="006868A7">
      <w:pPr>
        <w:contextualSpacing/>
        <w:jc w:val="both"/>
        <w:rPr>
          <w:rFonts w:cstheme="minorHAnsi"/>
        </w:rPr>
      </w:pPr>
    </w:p>
    <w:bookmarkEnd w:id="0"/>
    <w:bookmarkEnd w:id="2"/>
    <w:p w14:paraId="5E379EB6" w14:textId="299C9908" w:rsidR="0081477D" w:rsidRPr="00897FE9" w:rsidRDefault="0081477D" w:rsidP="0081477D">
      <w:pPr>
        <w:contextualSpacing/>
        <w:jc w:val="both"/>
        <w:rPr>
          <w:b/>
          <w:color w:val="2F5496" w:themeColor="accent1" w:themeShade="BF"/>
        </w:rPr>
      </w:pPr>
      <w:r w:rsidRPr="00897FE9">
        <w:rPr>
          <w:b/>
          <w:color w:val="2F5496" w:themeColor="accent1" w:themeShade="BF"/>
        </w:rPr>
        <w:t>Secretariat</w:t>
      </w:r>
      <w:r>
        <w:rPr>
          <w:b/>
          <w:color w:val="2F5496" w:themeColor="accent1" w:themeShade="BF"/>
        </w:rPr>
        <w:t xml:space="preserve"> </w:t>
      </w:r>
    </w:p>
    <w:p w14:paraId="16D08A28" w14:textId="77777777" w:rsidR="0081477D" w:rsidRDefault="0081477D" w:rsidP="0081477D">
      <w:pPr>
        <w:contextualSpacing/>
        <w:jc w:val="both"/>
      </w:pPr>
    </w:p>
    <w:p w14:paraId="5950D26F" w14:textId="3A824538" w:rsidR="0081477D" w:rsidRPr="00A95BB4" w:rsidRDefault="0081477D" w:rsidP="0081477D">
      <w:pPr>
        <w:contextualSpacing/>
        <w:jc w:val="both"/>
      </w:pPr>
      <w:r w:rsidRPr="00A95BB4">
        <w:t>The new Strategy period will be an opportunity to build on what has worked to date in terms of Secretariat structure and operational principles, whilst orienting the team towards new and more effective ways of supporting the work of partners</w:t>
      </w:r>
      <w:r w:rsidR="006576E8" w:rsidRPr="00A95BB4">
        <w:t>, including more virtual working</w:t>
      </w:r>
      <w:r w:rsidRPr="00A95BB4">
        <w:t>. This will include, among other things, embracing and capitalizing on the Partnership’s emerging digital platform and implementation approaches, and consequently reshaping the staff profiles to match expected future ways of working – not least, as shaped by the C</w:t>
      </w:r>
      <w:r w:rsidR="006576E8" w:rsidRPr="00A95BB4">
        <w:t>OVID</w:t>
      </w:r>
      <w:r w:rsidRPr="00A95BB4">
        <w:t>-19 pandemic.</w:t>
      </w:r>
    </w:p>
    <w:p w14:paraId="0CA5C51E" w14:textId="77777777" w:rsidR="0081477D" w:rsidRPr="00A95BB4" w:rsidRDefault="0081477D" w:rsidP="0081477D">
      <w:pPr>
        <w:contextualSpacing/>
        <w:jc w:val="both"/>
      </w:pPr>
    </w:p>
    <w:p w14:paraId="36AC8795" w14:textId="32A65075" w:rsidR="0081477D" w:rsidRPr="00954379" w:rsidRDefault="0081477D" w:rsidP="0081477D">
      <w:pPr>
        <w:jc w:val="both"/>
        <w:rPr>
          <w:rFonts w:cstheme="minorHAnsi"/>
        </w:rPr>
      </w:pPr>
      <w:r w:rsidRPr="00A95BB4">
        <w:rPr>
          <w:rFonts w:cstheme="minorHAnsi"/>
        </w:rPr>
        <w:t xml:space="preserve">An important finding of the 2019/20 PMNCH External Evaluation was that PMNCH has spread itself too thinly over recent years, failing to prioritise sufficiently and undertaking too many activities. As outlined </w:t>
      </w:r>
      <w:r w:rsidR="006576E8" w:rsidRPr="00A95BB4">
        <w:rPr>
          <w:rFonts w:cstheme="minorHAnsi"/>
        </w:rPr>
        <w:t>below</w:t>
      </w:r>
      <w:r w:rsidRPr="00A95BB4">
        <w:rPr>
          <w:rFonts w:cstheme="minorHAnsi"/>
        </w:rPr>
        <w:t>, the Partnership will use an annual w</w:t>
      </w:r>
      <w:r w:rsidR="00947148">
        <w:rPr>
          <w:rFonts w:cstheme="minorHAnsi"/>
        </w:rPr>
        <w:t>or</w:t>
      </w:r>
      <w:r w:rsidRPr="00A95BB4">
        <w:rPr>
          <w:rFonts w:cstheme="minorHAnsi"/>
        </w:rPr>
        <w:t>k</w:t>
      </w:r>
      <w:r w:rsidR="00C02240">
        <w:rPr>
          <w:rFonts w:cstheme="minorHAnsi"/>
        </w:rPr>
        <w:t>-</w:t>
      </w:r>
      <w:r w:rsidRPr="00A95BB4">
        <w:rPr>
          <w:rFonts w:cstheme="minorHAnsi"/>
        </w:rPr>
        <w:t>planning process to prioritize and reduce the number of activities it undertakes, focusing efforts on where impact can be best achieved. Activities will be undertaken through PMNCH’s partnership-centric approach – with Partners leading activities through Working Group and other structures, supported by the Secretariat – rather than the Secretariat leading on the execution of activities itself.</w:t>
      </w:r>
    </w:p>
    <w:p w14:paraId="25462536" w14:textId="77777777" w:rsidR="0081477D" w:rsidRDefault="0081477D" w:rsidP="00897FE9">
      <w:pPr>
        <w:contextualSpacing/>
        <w:jc w:val="both"/>
        <w:rPr>
          <w:b/>
          <w:color w:val="2F5496" w:themeColor="accent1" w:themeShade="BF"/>
        </w:rPr>
      </w:pPr>
    </w:p>
    <w:p w14:paraId="288B1E90" w14:textId="5364FEF2" w:rsidR="00897FE9" w:rsidRPr="00897FE9" w:rsidRDefault="00897FE9" w:rsidP="00897FE9">
      <w:pPr>
        <w:contextualSpacing/>
        <w:jc w:val="both"/>
        <w:rPr>
          <w:b/>
          <w:color w:val="2F5496" w:themeColor="accent1" w:themeShade="BF"/>
        </w:rPr>
      </w:pPr>
      <w:r w:rsidRPr="00897FE9">
        <w:rPr>
          <w:b/>
          <w:color w:val="2F5496" w:themeColor="accent1" w:themeShade="BF"/>
        </w:rPr>
        <w:t>Budget</w:t>
      </w:r>
      <w:r w:rsidR="0081477D">
        <w:rPr>
          <w:b/>
          <w:color w:val="2F5496" w:themeColor="accent1" w:themeShade="BF"/>
        </w:rPr>
        <w:t>s &amp; Annual Workplans</w:t>
      </w:r>
    </w:p>
    <w:p w14:paraId="0E7E723C" w14:textId="63486037" w:rsidR="00897FE9" w:rsidRDefault="00897FE9" w:rsidP="00897FE9">
      <w:pPr>
        <w:contextualSpacing/>
        <w:jc w:val="both"/>
      </w:pPr>
    </w:p>
    <w:p w14:paraId="694D0FC5" w14:textId="3A052A58" w:rsidR="00947148" w:rsidRPr="00954379" w:rsidRDefault="00947148" w:rsidP="00947148">
      <w:pPr>
        <w:jc w:val="both"/>
        <w:rPr>
          <w:rFonts w:cstheme="minorHAnsi"/>
        </w:rPr>
      </w:pPr>
      <w:r>
        <w:t xml:space="preserve">Annual </w:t>
      </w:r>
      <w:r w:rsidR="00EA352A">
        <w:t xml:space="preserve">workplans and </w:t>
      </w:r>
      <w:proofErr w:type="spellStart"/>
      <w:r>
        <w:t>budgetswill</w:t>
      </w:r>
      <w:proofErr w:type="spellEnd"/>
      <w:r>
        <w:t xml:space="preserve"> be developed and updated on a rolling basis throughout the annual work planning process. The workplan and budgets will be updated at the end of each year and presented to PMNCH’s governance bodies. </w:t>
      </w:r>
      <w:r w:rsidRPr="00434450">
        <w:rPr>
          <w:rFonts w:cstheme="minorHAnsi"/>
        </w:rPr>
        <w:t>When assessing wh</w:t>
      </w:r>
      <w:r>
        <w:rPr>
          <w:rFonts w:cstheme="minorHAnsi"/>
        </w:rPr>
        <w:t>ich</w:t>
      </w:r>
      <w:r w:rsidRPr="00434450">
        <w:rPr>
          <w:rFonts w:cstheme="minorHAnsi"/>
        </w:rPr>
        <w:t xml:space="preserve"> specific activities to take on each year in </w:t>
      </w:r>
      <w:r>
        <w:rPr>
          <w:rFonts w:cstheme="minorHAnsi"/>
        </w:rPr>
        <w:t>annual workplan,</w:t>
      </w:r>
      <w:r w:rsidRPr="00434450">
        <w:rPr>
          <w:rFonts w:cstheme="minorHAnsi"/>
        </w:rPr>
        <w:t xml:space="preserve"> the following principles for prioritization will apply:    </w:t>
      </w:r>
    </w:p>
    <w:p w14:paraId="4C62D5B4" w14:textId="77777777" w:rsidR="00947148" w:rsidRPr="00DE7D30" w:rsidRDefault="00947148" w:rsidP="00947148">
      <w:pPr>
        <w:numPr>
          <w:ilvl w:val="0"/>
          <w:numId w:val="23"/>
        </w:numPr>
        <w:contextualSpacing/>
        <w:jc w:val="both"/>
        <w:rPr>
          <w:rFonts w:cstheme="minorHAnsi"/>
        </w:rPr>
      </w:pPr>
      <w:r>
        <w:rPr>
          <w:rFonts w:cstheme="minorHAnsi"/>
        </w:rPr>
        <w:t>w</w:t>
      </w:r>
      <w:r w:rsidRPr="00DE7D30">
        <w:rPr>
          <w:rFonts w:cstheme="minorHAnsi"/>
        </w:rPr>
        <w:t>hat are the needs for action, using an equity lens?</w:t>
      </w:r>
    </w:p>
    <w:p w14:paraId="06AD2BC4" w14:textId="77777777" w:rsidR="00947148" w:rsidRPr="00DE7D30" w:rsidRDefault="00947148" w:rsidP="00947148">
      <w:pPr>
        <w:numPr>
          <w:ilvl w:val="0"/>
          <w:numId w:val="23"/>
        </w:numPr>
        <w:contextualSpacing/>
        <w:jc w:val="both"/>
        <w:rPr>
          <w:rFonts w:cstheme="minorHAnsi"/>
        </w:rPr>
      </w:pPr>
      <w:r>
        <w:rPr>
          <w:rFonts w:cstheme="minorHAnsi"/>
        </w:rPr>
        <w:t>w</w:t>
      </w:r>
      <w:r w:rsidRPr="00DE7D30">
        <w:rPr>
          <w:rFonts w:cstheme="minorHAnsi"/>
        </w:rPr>
        <w:t>here are the evidence-based gaps opportunities</w:t>
      </w:r>
      <w:r>
        <w:rPr>
          <w:rFonts w:cstheme="minorHAnsi"/>
        </w:rPr>
        <w:t xml:space="preserve"> for intervention</w:t>
      </w:r>
      <w:r w:rsidRPr="00DE7D30">
        <w:rPr>
          <w:rFonts w:cstheme="minorHAnsi"/>
        </w:rPr>
        <w:t>?</w:t>
      </w:r>
    </w:p>
    <w:p w14:paraId="3C74BBB8" w14:textId="77777777" w:rsidR="00947148" w:rsidRPr="00DE7D30" w:rsidRDefault="00947148" w:rsidP="00947148">
      <w:pPr>
        <w:numPr>
          <w:ilvl w:val="0"/>
          <w:numId w:val="23"/>
        </w:numPr>
        <w:contextualSpacing/>
        <w:jc w:val="both"/>
        <w:rPr>
          <w:rFonts w:cstheme="minorHAnsi"/>
        </w:rPr>
      </w:pPr>
      <w:r>
        <w:rPr>
          <w:rFonts w:cstheme="minorHAnsi"/>
        </w:rPr>
        <w:t>w</w:t>
      </w:r>
      <w:r w:rsidRPr="00DE7D30">
        <w:rPr>
          <w:rFonts w:cstheme="minorHAnsi"/>
        </w:rPr>
        <w:t>hat are others doing that PMNCH should build on and not duplicate?</w:t>
      </w:r>
    </w:p>
    <w:p w14:paraId="6552608D" w14:textId="77777777" w:rsidR="00947148" w:rsidRPr="00DE7D30" w:rsidRDefault="00947148" w:rsidP="00947148">
      <w:pPr>
        <w:numPr>
          <w:ilvl w:val="0"/>
          <w:numId w:val="23"/>
        </w:numPr>
        <w:contextualSpacing/>
        <w:jc w:val="both"/>
        <w:rPr>
          <w:rFonts w:cstheme="minorHAnsi"/>
        </w:rPr>
      </w:pPr>
      <w:r>
        <w:rPr>
          <w:rFonts w:cstheme="minorHAnsi"/>
        </w:rPr>
        <w:t>w</w:t>
      </w:r>
      <w:r w:rsidRPr="00DE7D30">
        <w:rPr>
          <w:rFonts w:cstheme="minorHAnsi"/>
        </w:rPr>
        <w:t>hat is PMNCH’s comparative advantage and explicit added value?</w:t>
      </w:r>
    </w:p>
    <w:p w14:paraId="244EF1D8" w14:textId="77777777" w:rsidR="00947148" w:rsidRPr="00DE7D30" w:rsidRDefault="00947148" w:rsidP="00947148">
      <w:pPr>
        <w:numPr>
          <w:ilvl w:val="0"/>
          <w:numId w:val="23"/>
        </w:numPr>
        <w:contextualSpacing/>
        <w:jc w:val="both"/>
        <w:rPr>
          <w:rFonts w:cstheme="minorHAnsi"/>
        </w:rPr>
      </w:pPr>
      <w:r>
        <w:rPr>
          <w:rFonts w:cstheme="minorHAnsi"/>
        </w:rPr>
        <w:t>w</w:t>
      </w:r>
      <w:r w:rsidRPr="00DE7D30">
        <w:rPr>
          <w:rFonts w:cstheme="minorHAnsi"/>
        </w:rPr>
        <w:t>hat is the partner demand</w:t>
      </w:r>
      <w:r>
        <w:rPr>
          <w:rFonts w:cstheme="minorHAnsi"/>
        </w:rPr>
        <w:t xml:space="preserve">, </w:t>
      </w:r>
      <w:r w:rsidRPr="00DE7D30">
        <w:rPr>
          <w:rFonts w:cstheme="minorHAnsi"/>
        </w:rPr>
        <w:t xml:space="preserve">both to generate and to utilize PMNCH products? </w:t>
      </w:r>
    </w:p>
    <w:p w14:paraId="7E6C9D51" w14:textId="77777777" w:rsidR="00947148" w:rsidRDefault="00947148" w:rsidP="00897FE9">
      <w:pPr>
        <w:contextualSpacing/>
        <w:jc w:val="both"/>
      </w:pPr>
    </w:p>
    <w:p w14:paraId="7E99D5BA" w14:textId="0232B677" w:rsidR="00897FE9" w:rsidRDefault="00897FE9" w:rsidP="00897FE9">
      <w:pPr>
        <w:contextualSpacing/>
        <w:jc w:val="both"/>
      </w:pPr>
      <w:r>
        <w:t xml:space="preserve">The management of the </w:t>
      </w:r>
      <w:r w:rsidR="0081477D">
        <w:t xml:space="preserve">PMNCH </w:t>
      </w:r>
      <w:r>
        <w:t xml:space="preserve">budget will be guided by a set of principles agreed by </w:t>
      </w:r>
      <w:r w:rsidR="0081477D">
        <w:t xml:space="preserve">the </w:t>
      </w:r>
      <w:proofErr w:type="spellStart"/>
      <w:r w:rsidR="00C02240">
        <w:t>P</w:t>
      </w:r>
      <w:r w:rsidR="0081477D">
        <w:t>artneship</w:t>
      </w:r>
      <w:r>
        <w:t>’s</w:t>
      </w:r>
      <w:proofErr w:type="spellEnd"/>
      <w:r>
        <w:t xml:space="preserve"> governance structures, and in alignment with WHO rules and regulations. As part of its hosting arrangement at WHO, the Partnership is subject to the audit and financial management processes required by its host for all departments and hosted partnerships. In addition, the Partnership will actively disseminate information about </w:t>
      </w:r>
      <w:r w:rsidR="0081477D">
        <w:t xml:space="preserve">its activities and performance, </w:t>
      </w:r>
      <w:r>
        <w:t>with all reports and information available on its website, regularly updated. This will include, for example, (</w:t>
      </w:r>
      <w:proofErr w:type="spellStart"/>
      <w:r>
        <w:t>i</w:t>
      </w:r>
      <w:proofErr w:type="spellEnd"/>
      <w:r>
        <w:t xml:space="preserve">) annual financial and narrative reports; </w:t>
      </w:r>
      <w:r>
        <w:rPr>
          <w:rFonts w:ascii="Calibri" w:hAnsi="Calibri" w:cs="Calibri"/>
        </w:rPr>
        <w:t xml:space="preserve">(ii) </w:t>
      </w:r>
      <w:r>
        <w:t xml:space="preserve">ongoing donor reporting, subject to the specific donor agreement; (iii) presentations and regular reporting on progress to governance bodies; (v) any evaluations and/ or reviews. </w:t>
      </w:r>
    </w:p>
    <w:p w14:paraId="71B354FD" w14:textId="77777777" w:rsidR="00897FE9" w:rsidRDefault="00897FE9" w:rsidP="00897FE9">
      <w:pPr>
        <w:contextualSpacing/>
        <w:jc w:val="both"/>
      </w:pPr>
    </w:p>
    <w:p w14:paraId="6EA92F3D" w14:textId="6C221F7E" w:rsidR="00897FE9" w:rsidRDefault="00897FE9" w:rsidP="00897FE9">
      <w:pPr>
        <w:contextualSpacing/>
        <w:jc w:val="both"/>
      </w:pPr>
    </w:p>
    <w:p w14:paraId="576D23D9" w14:textId="77777777" w:rsidR="00897FE9" w:rsidRDefault="00897FE9" w:rsidP="00897FE9">
      <w:pPr>
        <w:contextualSpacing/>
        <w:jc w:val="both"/>
        <w:rPr>
          <w:b/>
          <w:u w:val="single"/>
        </w:rPr>
      </w:pPr>
    </w:p>
    <w:p w14:paraId="31B143BB" w14:textId="04B3C1CA" w:rsidR="00E06DC3" w:rsidRPr="001E72B1" w:rsidRDefault="00E06DC3" w:rsidP="00897FE9">
      <w:pPr>
        <w:contextualSpacing/>
        <w:rPr>
          <w:rFonts w:asciiTheme="majorHAnsi" w:hAnsiTheme="majorHAnsi" w:cstheme="majorHAnsi"/>
          <w:b/>
          <w:bCs/>
          <w:color w:val="7030A0"/>
        </w:rPr>
        <w:sectPr w:rsidR="00E06DC3" w:rsidRPr="001E72B1" w:rsidSect="00D17073">
          <w:headerReference w:type="default" r:id="rId23"/>
          <w:footerReference w:type="default" r:id="rId24"/>
          <w:headerReference w:type="first" r:id="rId25"/>
          <w:footerReference w:type="first" r:id="rId26"/>
          <w:pgSz w:w="11906" w:h="16838"/>
          <w:pgMar w:top="1440" w:right="1440" w:bottom="1702" w:left="1440" w:header="708" w:footer="708" w:gutter="0"/>
          <w:pgNumType w:start="0"/>
          <w:cols w:space="708"/>
          <w:titlePg/>
          <w:docGrid w:linePitch="360"/>
        </w:sectPr>
      </w:pPr>
    </w:p>
    <w:p w14:paraId="788036C5" w14:textId="51DBB7E3" w:rsidR="00023296" w:rsidRPr="00DE7D30" w:rsidRDefault="008C7750" w:rsidP="00DE7D30">
      <w:pPr>
        <w:rPr>
          <w:rFonts w:cstheme="minorHAnsi"/>
          <w:b/>
          <w:bCs/>
          <w:i/>
          <w:iCs/>
        </w:rPr>
      </w:pPr>
      <w:r w:rsidRPr="00DE7D30">
        <w:rPr>
          <w:rStyle w:val="Heading1Char"/>
          <w:rFonts w:asciiTheme="minorHAnsi" w:hAnsiTheme="minorHAnsi" w:cstheme="minorHAnsi"/>
          <w:b/>
          <w:bCs/>
          <w:i w:val="0"/>
          <w:iCs/>
          <w:color w:val="2F5496" w:themeColor="accent1" w:themeShade="BF"/>
          <w:sz w:val="22"/>
          <w:szCs w:val="22"/>
        </w:rPr>
        <w:t>A</w:t>
      </w:r>
      <w:r w:rsidR="00630894" w:rsidRPr="00DE7D30">
        <w:rPr>
          <w:rStyle w:val="Heading1Char"/>
          <w:rFonts w:asciiTheme="minorHAnsi" w:hAnsiTheme="minorHAnsi" w:cstheme="minorHAnsi"/>
          <w:b/>
          <w:bCs/>
          <w:i w:val="0"/>
          <w:iCs/>
          <w:color w:val="2F5496" w:themeColor="accent1" w:themeShade="BF"/>
          <w:sz w:val="22"/>
          <w:szCs w:val="22"/>
        </w:rPr>
        <w:t xml:space="preserve">NNEX </w:t>
      </w:r>
      <w:r w:rsidRPr="00DE7D30">
        <w:rPr>
          <w:rStyle w:val="Heading1Char"/>
          <w:rFonts w:asciiTheme="minorHAnsi" w:hAnsiTheme="minorHAnsi" w:cstheme="minorHAnsi"/>
          <w:b/>
          <w:bCs/>
          <w:i w:val="0"/>
          <w:iCs/>
          <w:color w:val="2F5496" w:themeColor="accent1" w:themeShade="BF"/>
          <w:sz w:val="22"/>
          <w:szCs w:val="22"/>
        </w:rPr>
        <w:t>1</w:t>
      </w:r>
      <w:r w:rsidR="00DE7D30">
        <w:rPr>
          <w:rStyle w:val="Heading1Char"/>
          <w:rFonts w:asciiTheme="minorHAnsi" w:hAnsiTheme="minorHAnsi" w:cstheme="minorHAnsi"/>
          <w:b/>
          <w:bCs/>
          <w:i w:val="0"/>
          <w:iCs/>
          <w:color w:val="2F5496" w:themeColor="accent1" w:themeShade="BF"/>
          <w:sz w:val="22"/>
          <w:szCs w:val="22"/>
        </w:rPr>
        <w:t xml:space="preserve">. </w:t>
      </w:r>
      <w:r w:rsidR="00630894" w:rsidRPr="00DE7D30">
        <w:rPr>
          <w:rStyle w:val="Heading1Char"/>
          <w:rFonts w:asciiTheme="minorHAnsi" w:hAnsiTheme="minorHAnsi" w:cstheme="minorHAnsi"/>
          <w:b/>
          <w:bCs/>
          <w:i w:val="0"/>
          <w:iCs/>
          <w:color w:val="2F5496" w:themeColor="accent1" w:themeShade="BF"/>
          <w:sz w:val="22"/>
          <w:szCs w:val="22"/>
        </w:rPr>
        <w:t>Theory of Change</w:t>
      </w:r>
      <w:r w:rsidR="00E37B1B">
        <w:rPr>
          <w:rStyle w:val="Heading1Char"/>
          <w:rFonts w:asciiTheme="minorHAnsi" w:hAnsiTheme="minorHAnsi" w:cstheme="minorHAnsi"/>
          <w:b/>
          <w:bCs/>
          <w:i w:val="0"/>
          <w:iCs/>
          <w:color w:val="2F5496" w:themeColor="accent1" w:themeShade="BF"/>
          <w:sz w:val="22"/>
          <w:szCs w:val="22"/>
        </w:rPr>
        <w:t xml:space="preserve"> </w:t>
      </w:r>
    </w:p>
    <w:p w14:paraId="1AC7A609" w14:textId="1AAB2AC2" w:rsidR="00971F09" w:rsidRDefault="00971F09" w:rsidP="00630894">
      <w:pPr>
        <w:rPr>
          <w:rFonts w:asciiTheme="majorHAnsi" w:hAnsiTheme="majorHAnsi" w:cstheme="majorHAnsi"/>
          <w:b/>
          <w:bCs/>
          <w:color w:val="2F5496" w:themeColor="accent1" w:themeShade="BF"/>
          <w:sz w:val="10"/>
          <w:szCs w:val="10"/>
        </w:rPr>
      </w:pPr>
    </w:p>
    <w:p w14:paraId="33940AF3" w14:textId="695D9BBC" w:rsidR="00E37B1B" w:rsidRDefault="009E3D18" w:rsidP="00630894">
      <w:pPr>
        <w:rPr>
          <w:rFonts w:asciiTheme="majorHAnsi" w:hAnsiTheme="majorHAnsi" w:cstheme="majorHAnsi"/>
          <w:b/>
          <w:bCs/>
          <w:color w:val="2F5496" w:themeColor="accent1" w:themeShade="BF"/>
          <w:sz w:val="10"/>
          <w:szCs w:val="10"/>
        </w:rPr>
      </w:pPr>
      <w:r w:rsidRPr="009E3D18">
        <w:rPr>
          <w:noProof/>
        </w:rPr>
        <w:drawing>
          <wp:inline distT="0" distB="0" distL="0" distR="0" wp14:anchorId="58A65C72" wp14:editId="7A8EE545">
            <wp:extent cx="8785860" cy="509489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000" r="1001"/>
                    <a:stretch/>
                  </pic:blipFill>
                  <pic:spPr bwMode="auto">
                    <a:xfrm>
                      <a:off x="0" y="0"/>
                      <a:ext cx="8796268" cy="5100928"/>
                    </a:xfrm>
                    <a:prstGeom prst="rect">
                      <a:avLst/>
                    </a:prstGeom>
                    <a:noFill/>
                    <a:ln>
                      <a:noFill/>
                    </a:ln>
                    <a:extLst>
                      <a:ext uri="{53640926-AAD7-44D8-BBD7-CCE9431645EC}">
                        <a14:shadowObscured xmlns:a14="http://schemas.microsoft.com/office/drawing/2010/main"/>
                      </a:ext>
                    </a:extLst>
                  </pic:spPr>
                </pic:pic>
              </a:graphicData>
            </a:graphic>
          </wp:inline>
        </w:drawing>
      </w:r>
    </w:p>
    <w:p w14:paraId="0CFA7B15" w14:textId="77777777" w:rsidR="00E37B1B" w:rsidRDefault="00E37B1B" w:rsidP="00630894">
      <w:pPr>
        <w:rPr>
          <w:rFonts w:asciiTheme="majorHAnsi" w:hAnsiTheme="majorHAnsi" w:cstheme="majorHAnsi"/>
          <w:b/>
          <w:bCs/>
          <w:color w:val="2F5496" w:themeColor="accent1" w:themeShade="BF"/>
          <w:sz w:val="10"/>
          <w:szCs w:val="10"/>
        </w:rPr>
      </w:pPr>
    </w:p>
    <w:p w14:paraId="4DF1FA8B" w14:textId="16EDAC4C" w:rsidR="004B16FA" w:rsidRDefault="004B16FA" w:rsidP="00630894">
      <w:pPr>
        <w:rPr>
          <w:rFonts w:asciiTheme="majorHAnsi" w:hAnsiTheme="majorHAnsi" w:cstheme="majorHAnsi"/>
          <w:b/>
          <w:bCs/>
          <w:color w:val="2F5496" w:themeColor="accent1" w:themeShade="BF"/>
          <w:sz w:val="10"/>
          <w:szCs w:val="10"/>
        </w:rPr>
      </w:pPr>
    </w:p>
    <w:p w14:paraId="57D57117" w14:textId="77777777" w:rsidR="004B16FA" w:rsidRDefault="004B16FA" w:rsidP="00630894">
      <w:pPr>
        <w:rPr>
          <w:rFonts w:asciiTheme="majorHAnsi" w:hAnsiTheme="majorHAnsi" w:cstheme="majorHAnsi"/>
          <w:b/>
          <w:bCs/>
          <w:color w:val="2F5496" w:themeColor="accent1" w:themeShade="BF"/>
          <w:sz w:val="10"/>
          <w:szCs w:val="10"/>
        </w:rPr>
      </w:pPr>
    </w:p>
    <w:p w14:paraId="6706F3CA" w14:textId="01A8231C" w:rsidR="00A92765" w:rsidRDefault="00A92765" w:rsidP="00630894">
      <w:pPr>
        <w:rPr>
          <w:rFonts w:asciiTheme="majorHAnsi" w:hAnsiTheme="majorHAnsi" w:cstheme="majorHAnsi"/>
          <w:b/>
          <w:bCs/>
          <w:color w:val="2F5496" w:themeColor="accent1" w:themeShade="BF"/>
          <w:sz w:val="10"/>
          <w:szCs w:val="10"/>
        </w:rPr>
      </w:pPr>
    </w:p>
    <w:p w14:paraId="56A9BC7C" w14:textId="77777777" w:rsidR="00630894" w:rsidRPr="001E72B1" w:rsidRDefault="00630894" w:rsidP="00D46CE3">
      <w:pPr>
        <w:jc w:val="center"/>
        <w:rPr>
          <w:rFonts w:asciiTheme="majorHAnsi" w:hAnsiTheme="majorHAnsi" w:cstheme="majorHAnsi"/>
          <w:b/>
          <w:bCs/>
          <w:color w:val="7030A0"/>
        </w:rPr>
        <w:sectPr w:rsidR="00630894" w:rsidRPr="001E72B1" w:rsidSect="00B5004F">
          <w:pgSz w:w="16838" w:h="11906" w:orient="landscape"/>
          <w:pgMar w:top="1440" w:right="1440" w:bottom="1440" w:left="1701" w:header="709" w:footer="709" w:gutter="0"/>
          <w:cols w:space="708"/>
          <w:docGrid w:linePitch="360"/>
        </w:sectPr>
      </w:pPr>
    </w:p>
    <w:p w14:paraId="48B0BD35" w14:textId="7B421AB4" w:rsidR="0088497E" w:rsidRPr="00292BC1" w:rsidRDefault="00FE31F0" w:rsidP="00292BC1">
      <w:pPr>
        <w:rPr>
          <w:rFonts w:cstheme="minorHAnsi"/>
          <w:b/>
          <w:bCs/>
          <w:color w:val="2F5496" w:themeColor="accent1" w:themeShade="BF"/>
        </w:rPr>
      </w:pPr>
      <w:r w:rsidRPr="00292BC1">
        <w:rPr>
          <w:rFonts w:cstheme="minorHAnsi"/>
          <w:b/>
          <w:bCs/>
          <w:color w:val="2F5496" w:themeColor="accent1" w:themeShade="BF"/>
        </w:rPr>
        <w:t>ANNEX 2</w:t>
      </w:r>
      <w:r w:rsidR="00292BC1" w:rsidRPr="00292BC1">
        <w:rPr>
          <w:rFonts w:cstheme="minorHAnsi"/>
          <w:b/>
          <w:bCs/>
          <w:color w:val="2F5496" w:themeColor="accent1" w:themeShade="BF"/>
        </w:rPr>
        <w:t xml:space="preserve">. </w:t>
      </w:r>
      <w:r w:rsidRPr="00292BC1">
        <w:rPr>
          <w:rFonts w:cstheme="minorHAnsi"/>
          <w:b/>
          <w:bCs/>
          <w:color w:val="2F5496" w:themeColor="accent1" w:themeShade="BF"/>
        </w:rPr>
        <w:t xml:space="preserve"> </w:t>
      </w:r>
      <w:r w:rsidR="0088497E" w:rsidRPr="00292BC1">
        <w:rPr>
          <w:rFonts w:cstheme="minorHAnsi"/>
          <w:b/>
          <w:bCs/>
          <w:color w:val="2F5496" w:themeColor="accent1" w:themeShade="BF"/>
        </w:rPr>
        <w:t>R</w:t>
      </w:r>
      <w:r w:rsidR="00630894" w:rsidRPr="00292BC1">
        <w:rPr>
          <w:rFonts w:cstheme="minorHAnsi"/>
          <w:b/>
          <w:bCs/>
          <w:color w:val="2F5496" w:themeColor="accent1" w:themeShade="BF"/>
        </w:rPr>
        <w:t>esults</w:t>
      </w:r>
      <w:r w:rsidR="0088497E" w:rsidRPr="00292BC1">
        <w:rPr>
          <w:rFonts w:cstheme="minorHAnsi"/>
          <w:b/>
          <w:bCs/>
          <w:color w:val="2F5496" w:themeColor="accent1" w:themeShade="BF"/>
        </w:rPr>
        <w:t xml:space="preserve"> F</w:t>
      </w:r>
      <w:r w:rsidR="00630894" w:rsidRPr="00292BC1">
        <w:rPr>
          <w:rFonts w:cstheme="minorHAnsi"/>
          <w:b/>
          <w:bCs/>
          <w:color w:val="2F5496" w:themeColor="accent1" w:themeShade="BF"/>
        </w:rPr>
        <w:t>ramework</w:t>
      </w:r>
    </w:p>
    <w:p w14:paraId="6ED15137" w14:textId="77777777" w:rsidR="00292BC1" w:rsidRPr="00292BC1" w:rsidRDefault="00292BC1" w:rsidP="00292BC1">
      <w:pPr>
        <w:rPr>
          <w:rFonts w:cstheme="minorHAnsi"/>
          <w:b/>
          <w:bCs/>
          <w:color w:val="2F5496" w:themeColor="accent1" w:themeShade="BF"/>
        </w:rPr>
      </w:pPr>
    </w:p>
    <w:p w14:paraId="588DB35D" w14:textId="1DE78C3D" w:rsidR="001C6E89" w:rsidRPr="001C6E89" w:rsidRDefault="0088497E" w:rsidP="001C6E89">
      <w:pPr>
        <w:jc w:val="both"/>
        <w:rPr>
          <w:rFonts w:cstheme="minorHAnsi"/>
        </w:rPr>
      </w:pPr>
      <w:r w:rsidRPr="001C6E89">
        <w:rPr>
          <w:rFonts w:cstheme="minorHAnsi"/>
        </w:rPr>
        <w:t xml:space="preserve">The </w:t>
      </w:r>
      <w:r w:rsidR="003F4791" w:rsidRPr="001C6E89">
        <w:rPr>
          <w:rFonts w:cstheme="minorHAnsi"/>
        </w:rPr>
        <w:t>R</w:t>
      </w:r>
      <w:r w:rsidRPr="001C6E89">
        <w:rPr>
          <w:rFonts w:cstheme="minorHAnsi"/>
        </w:rPr>
        <w:t xml:space="preserve">esults </w:t>
      </w:r>
      <w:r w:rsidR="003F4791" w:rsidRPr="001C6E89">
        <w:rPr>
          <w:rFonts w:cstheme="minorHAnsi"/>
        </w:rPr>
        <w:t>F</w:t>
      </w:r>
      <w:r w:rsidRPr="001C6E89">
        <w:rPr>
          <w:rFonts w:cstheme="minorHAnsi"/>
        </w:rPr>
        <w:t xml:space="preserve">ramework below </w:t>
      </w:r>
      <w:r w:rsidR="003F4791" w:rsidRPr="001C6E89">
        <w:rPr>
          <w:rFonts w:cstheme="minorHAnsi"/>
        </w:rPr>
        <w:t>is</w:t>
      </w:r>
      <w:r w:rsidRPr="001C6E89">
        <w:rPr>
          <w:rFonts w:cstheme="minorHAnsi"/>
        </w:rPr>
        <w:t xml:space="preserve"> derived from the Theory of Change</w:t>
      </w:r>
      <w:r w:rsidR="008937E1" w:rsidRPr="001C6E89">
        <w:rPr>
          <w:rFonts w:cstheme="minorHAnsi"/>
        </w:rPr>
        <w:t>.</w:t>
      </w:r>
      <w:r w:rsidR="001C6E89">
        <w:rPr>
          <w:rFonts w:cstheme="minorHAnsi"/>
        </w:rPr>
        <w:t xml:space="preserve"> </w:t>
      </w:r>
      <w:r w:rsidRPr="001C6E89">
        <w:rPr>
          <w:rFonts w:cstheme="minorHAnsi"/>
          <w:bCs/>
          <w:iCs/>
        </w:rPr>
        <w:t>Baselines</w:t>
      </w:r>
      <w:r w:rsidRPr="001C6E89">
        <w:rPr>
          <w:rFonts w:cstheme="minorHAnsi"/>
          <w:iCs/>
        </w:rPr>
        <w:t xml:space="preserve"> </w:t>
      </w:r>
      <w:r w:rsidR="001C6E89">
        <w:rPr>
          <w:rFonts w:cstheme="minorHAnsi"/>
          <w:iCs/>
        </w:rPr>
        <w:t xml:space="preserve">and targets </w:t>
      </w:r>
      <w:r w:rsidRPr="001C6E89">
        <w:rPr>
          <w:rFonts w:cstheme="minorHAnsi"/>
        </w:rPr>
        <w:t>will be established in 2020</w:t>
      </w:r>
      <w:r w:rsidR="001C6E89">
        <w:rPr>
          <w:rFonts w:cstheme="minorHAnsi"/>
        </w:rPr>
        <w:t>. W</w:t>
      </w:r>
      <w:r w:rsidRPr="001C6E89">
        <w:rPr>
          <w:rFonts w:cstheme="minorHAnsi"/>
          <w:color w:val="000000" w:themeColor="text1"/>
          <w:kern w:val="24"/>
        </w:rPr>
        <w:t>here relevant and possible, baselines and results reporting will be disaggregated</w:t>
      </w:r>
      <w:r w:rsidR="001C6E89">
        <w:rPr>
          <w:rFonts w:cstheme="minorHAnsi"/>
          <w:color w:val="000000" w:themeColor="text1"/>
          <w:kern w:val="24"/>
        </w:rPr>
        <w:t xml:space="preserve"> by</w:t>
      </w:r>
      <w:r w:rsidRPr="001C6E89">
        <w:rPr>
          <w:rFonts w:cstheme="minorHAnsi"/>
          <w:color w:val="000000" w:themeColor="text1"/>
          <w:kern w:val="24"/>
        </w:rPr>
        <w:t>: priority focus area (MNCH; SRHR; Adolescents);</w:t>
      </w:r>
      <w:r w:rsidRPr="001C6E89">
        <w:rPr>
          <w:rFonts w:cstheme="minorHAnsi"/>
        </w:rPr>
        <w:t xml:space="preserve"> population group (e.g. </w:t>
      </w:r>
      <w:r w:rsidR="001C6E89">
        <w:rPr>
          <w:rFonts w:cstheme="minorHAnsi"/>
        </w:rPr>
        <w:t xml:space="preserve">women; </w:t>
      </w:r>
      <w:r w:rsidRPr="001C6E89">
        <w:rPr>
          <w:rFonts w:cstheme="minorHAnsi"/>
        </w:rPr>
        <w:t xml:space="preserve">income distributions, disability, migrants); by region; by country type (e.g. </w:t>
      </w:r>
      <w:r w:rsidR="00B67FBC">
        <w:rPr>
          <w:rFonts w:cstheme="minorHAnsi"/>
        </w:rPr>
        <w:t>h</w:t>
      </w:r>
      <w:r w:rsidRPr="001C6E89">
        <w:rPr>
          <w:rFonts w:cstheme="minorHAnsi"/>
        </w:rPr>
        <w:t xml:space="preserve">umanitarian &amp; </w:t>
      </w:r>
      <w:r w:rsidR="00B67FBC">
        <w:rPr>
          <w:rFonts w:cstheme="minorHAnsi"/>
        </w:rPr>
        <w:t>f</w:t>
      </w:r>
      <w:r w:rsidRPr="001C6E89">
        <w:rPr>
          <w:rFonts w:cstheme="minorHAnsi"/>
        </w:rPr>
        <w:t xml:space="preserve">ragile </w:t>
      </w:r>
      <w:r w:rsidR="00B67FBC">
        <w:rPr>
          <w:rFonts w:cstheme="minorHAnsi"/>
        </w:rPr>
        <w:t>s</w:t>
      </w:r>
      <w:r w:rsidRPr="001C6E89">
        <w:rPr>
          <w:rFonts w:cstheme="minorHAnsi"/>
        </w:rPr>
        <w:t>ettings)</w:t>
      </w:r>
      <w:r w:rsidR="001C6E89">
        <w:rPr>
          <w:rFonts w:cstheme="minorHAnsi"/>
        </w:rPr>
        <w:t xml:space="preserve">. </w:t>
      </w:r>
      <w:r w:rsidRPr="001C6E89">
        <w:rPr>
          <w:rFonts w:cstheme="minorHAnsi"/>
          <w:bCs/>
          <w:iCs/>
        </w:rPr>
        <w:t>Progress</w:t>
      </w:r>
      <w:r w:rsidRPr="001C6E89">
        <w:rPr>
          <w:rFonts w:cstheme="minorHAnsi"/>
          <w:iCs/>
        </w:rPr>
        <w:t xml:space="preserve"> </w:t>
      </w:r>
      <w:r w:rsidRPr="001C6E89">
        <w:rPr>
          <w:rFonts w:cstheme="minorHAnsi"/>
        </w:rPr>
        <w:t>on the execution of these activities against Strategy goals will be conducted on an annual basis by the Board through annual work planning and review; this process will also determine wh</w:t>
      </w:r>
      <w:r w:rsidR="001C6E89">
        <w:rPr>
          <w:rFonts w:cstheme="minorHAnsi"/>
        </w:rPr>
        <w:t>at</w:t>
      </w:r>
      <w:r w:rsidRPr="001C6E89">
        <w:rPr>
          <w:rFonts w:cstheme="minorHAnsi"/>
        </w:rPr>
        <w:t xml:space="preserve"> additional activities are </w:t>
      </w:r>
      <w:r w:rsidR="001C6E89">
        <w:rPr>
          <w:rFonts w:cstheme="minorHAnsi"/>
        </w:rPr>
        <w:t xml:space="preserve">undertaken. </w:t>
      </w:r>
      <w:r w:rsidRPr="001C6E89">
        <w:rPr>
          <w:rFonts w:cstheme="minorHAnsi"/>
        </w:rPr>
        <w:t>In addition to yearly monitoring as described below, PMNCH will undergo an external</w:t>
      </w:r>
      <w:r w:rsidRPr="001C6E89">
        <w:rPr>
          <w:rFonts w:cstheme="minorHAnsi"/>
          <w:iCs/>
        </w:rPr>
        <w:t xml:space="preserve"> </w:t>
      </w:r>
      <w:r w:rsidRPr="001C6E89">
        <w:rPr>
          <w:rFonts w:cstheme="minorHAnsi"/>
          <w:bCs/>
          <w:iCs/>
        </w:rPr>
        <w:t>evaluation</w:t>
      </w:r>
      <w:r w:rsidRPr="001C6E89">
        <w:rPr>
          <w:rFonts w:cstheme="minorHAnsi"/>
          <w:iCs/>
        </w:rPr>
        <w:t xml:space="preserve"> </w:t>
      </w:r>
      <w:r w:rsidRPr="001C6E89">
        <w:rPr>
          <w:rFonts w:cstheme="minorHAnsi"/>
        </w:rPr>
        <w:t xml:space="preserve">in 2024, to review Strategy 2021 – 2025 progress and to plan for the next Strategy period (assumed to be 2026 – 2030, to coincide with SDG </w:t>
      </w:r>
      <w:r w:rsidR="002F5973" w:rsidRPr="001C6E89">
        <w:rPr>
          <w:rFonts w:cstheme="minorHAnsi"/>
        </w:rPr>
        <w:t>completion</w:t>
      </w:r>
      <w:r w:rsidRPr="001C6E89">
        <w:rPr>
          <w:rFonts w:cstheme="minorHAnsi"/>
        </w:rPr>
        <w:t>)</w:t>
      </w:r>
      <w:r w:rsidR="001C6E89">
        <w:rPr>
          <w:rFonts w:cstheme="minorHAnsi"/>
        </w:rPr>
        <w:t>.</w:t>
      </w:r>
      <w:bookmarkStart w:id="4" w:name="_Hlk39323203"/>
    </w:p>
    <w:p w14:paraId="696143FE" w14:textId="77777777" w:rsidR="006A6B63" w:rsidRPr="006A6B63" w:rsidRDefault="006A6B63" w:rsidP="006A6B63">
      <w:pPr>
        <w:pStyle w:val="ListParagraph"/>
        <w:jc w:val="both"/>
        <w:rPr>
          <w:rFonts w:cstheme="minorHAnsi"/>
          <w:b/>
          <w:bCs/>
        </w:rPr>
      </w:pPr>
    </w:p>
    <w:tbl>
      <w:tblPr>
        <w:tblStyle w:val="TableGrid"/>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1559"/>
        <w:gridCol w:w="1276"/>
        <w:gridCol w:w="2126"/>
      </w:tblGrid>
      <w:tr w:rsidR="006A6B63" w:rsidRPr="001D25B1" w14:paraId="53632D4B" w14:textId="77777777" w:rsidTr="009D65C6">
        <w:tc>
          <w:tcPr>
            <w:tcW w:w="4106" w:type="dxa"/>
            <w:shd w:val="clear" w:color="auto" w:fill="8EAADB" w:themeFill="accent1" w:themeFillTint="99"/>
          </w:tcPr>
          <w:p w14:paraId="19F4A417" w14:textId="77777777" w:rsidR="006A6B63" w:rsidRPr="001D25B1" w:rsidRDefault="006A6B63" w:rsidP="006A6B63">
            <w:pPr>
              <w:jc w:val="center"/>
              <w:rPr>
                <w:rFonts w:cstheme="minorHAnsi"/>
                <w:b/>
                <w:bCs/>
                <w:sz w:val="20"/>
                <w:szCs w:val="20"/>
              </w:rPr>
            </w:pPr>
            <w:r w:rsidRPr="001D25B1">
              <w:rPr>
                <w:rFonts w:cstheme="minorHAnsi"/>
                <w:b/>
                <w:bCs/>
                <w:sz w:val="20"/>
                <w:szCs w:val="20"/>
              </w:rPr>
              <w:t>Results</w:t>
            </w:r>
          </w:p>
        </w:tc>
        <w:tc>
          <w:tcPr>
            <w:tcW w:w="1559" w:type="dxa"/>
            <w:shd w:val="clear" w:color="auto" w:fill="8EAADB" w:themeFill="accent1" w:themeFillTint="99"/>
          </w:tcPr>
          <w:p w14:paraId="5947C2E5" w14:textId="56FBCBA6" w:rsidR="006A6B63" w:rsidRPr="001D25B1" w:rsidRDefault="006A6B63" w:rsidP="006A6B63">
            <w:pPr>
              <w:jc w:val="center"/>
              <w:rPr>
                <w:rFonts w:cstheme="minorHAnsi"/>
                <w:b/>
                <w:bCs/>
                <w:sz w:val="20"/>
                <w:szCs w:val="20"/>
              </w:rPr>
            </w:pPr>
            <w:r w:rsidRPr="001D25B1">
              <w:rPr>
                <w:rFonts w:cstheme="minorHAnsi"/>
                <w:b/>
                <w:bCs/>
                <w:sz w:val="20"/>
                <w:szCs w:val="20"/>
              </w:rPr>
              <w:t>PMNCH Accountability</w:t>
            </w:r>
            <w:r w:rsidR="00B67FBC" w:rsidRPr="001D25B1">
              <w:rPr>
                <w:rFonts w:cstheme="minorHAnsi"/>
                <w:b/>
                <w:bCs/>
                <w:sz w:val="20"/>
                <w:szCs w:val="20"/>
              </w:rPr>
              <w:t>*</w:t>
            </w:r>
          </w:p>
        </w:tc>
        <w:tc>
          <w:tcPr>
            <w:tcW w:w="1276" w:type="dxa"/>
            <w:shd w:val="clear" w:color="auto" w:fill="8EAADB" w:themeFill="accent1" w:themeFillTint="99"/>
          </w:tcPr>
          <w:p w14:paraId="310CC267" w14:textId="0A5C27F4" w:rsidR="006A6B63" w:rsidRPr="001D25B1" w:rsidRDefault="0063528B" w:rsidP="006A6B63">
            <w:pPr>
              <w:jc w:val="center"/>
              <w:rPr>
                <w:rFonts w:cstheme="minorHAnsi"/>
                <w:b/>
                <w:bCs/>
                <w:sz w:val="20"/>
                <w:szCs w:val="20"/>
              </w:rPr>
            </w:pPr>
            <w:r w:rsidRPr="001D25B1">
              <w:rPr>
                <w:rFonts w:cstheme="minorHAnsi"/>
                <w:b/>
                <w:bCs/>
                <w:sz w:val="20"/>
                <w:szCs w:val="20"/>
              </w:rPr>
              <w:t>Frequency</w:t>
            </w:r>
          </w:p>
        </w:tc>
        <w:tc>
          <w:tcPr>
            <w:tcW w:w="2126" w:type="dxa"/>
            <w:shd w:val="clear" w:color="auto" w:fill="8EAADB" w:themeFill="accent1" w:themeFillTint="99"/>
          </w:tcPr>
          <w:p w14:paraId="518AC2E2" w14:textId="77777777" w:rsidR="006A6B63" w:rsidRPr="001D25B1" w:rsidRDefault="006A6B63" w:rsidP="006A6B63">
            <w:pPr>
              <w:jc w:val="center"/>
              <w:rPr>
                <w:rFonts w:cstheme="minorHAnsi"/>
                <w:b/>
                <w:bCs/>
                <w:sz w:val="20"/>
                <w:szCs w:val="20"/>
              </w:rPr>
            </w:pPr>
            <w:r w:rsidRPr="001D25B1">
              <w:rPr>
                <w:rFonts w:cstheme="minorHAnsi"/>
                <w:b/>
                <w:bCs/>
                <w:sz w:val="20"/>
                <w:szCs w:val="20"/>
              </w:rPr>
              <w:t>Means of verification</w:t>
            </w:r>
          </w:p>
        </w:tc>
      </w:tr>
      <w:tr w:rsidR="006A6B63" w:rsidRPr="001D25B1" w14:paraId="61936D72" w14:textId="77777777" w:rsidTr="0095545E">
        <w:tc>
          <w:tcPr>
            <w:tcW w:w="9067" w:type="dxa"/>
            <w:gridSpan w:val="4"/>
            <w:shd w:val="clear" w:color="auto" w:fill="D9E2F3" w:themeFill="accent1" w:themeFillTint="33"/>
          </w:tcPr>
          <w:p w14:paraId="0206FFE4" w14:textId="4AC6E5F3" w:rsidR="006A6B63" w:rsidRPr="001D25B1" w:rsidRDefault="006A6B63" w:rsidP="00757123">
            <w:pPr>
              <w:jc w:val="both"/>
              <w:rPr>
                <w:rFonts w:cstheme="minorHAnsi"/>
                <w:b/>
                <w:bCs/>
                <w:sz w:val="20"/>
                <w:szCs w:val="20"/>
              </w:rPr>
            </w:pPr>
            <w:r w:rsidRPr="001D25B1">
              <w:rPr>
                <w:rFonts w:cstheme="minorHAnsi"/>
                <w:b/>
                <w:bCs/>
                <w:sz w:val="20"/>
                <w:szCs w:val="20"/>
              </w:rPr>
              <w:t>IMPACT</w:t>
            </w:r>
          </w:p>
        </w:tc>
      </w:tr>
      <w:tr w:rsidR="006A6B63" w:rsidRPr="001D25B1" w14:paraId="18452F35" w14:textId="77777777" w:rsidTr="009D65C6">
        <w:tc>
          <w:tcPr>
            <w:tcW w:w="4106" w:type="dxa"/>
          </w:tcPr>
          <w:p w14:paraId="4D570AE0" w14:textId="4E5014E5" w:rsidR="006A6B63" w:rsidRPr="001D25B1" w:rsidRDefault="006A6B63" w:rsidP="006A6B63">
            <w:pPr>
              <w:rPr>
                <w:rFonts w:cstheme="minorHAnsi"/>
                <w:sz w:val="20"/>
                <w:szCs w:val="20"/>
              </w:rPr>
            </w:pPr>
            <w:r w:rsidRPr="001D25B1">
              <w:rPr>
                <w:rFonts w:cstheme="minorHAnsi"/>
                <w:b/>
                <w:bCs/>
                <w:sz w:val="20"/>
                <w:szCs w:val="20"/>
              </w:rPr>
              <w:t>SDG targets &amp; indicators</w:t>
            </w:r>
            <w:r w:rsidRPr="001D25B1">
              <w:rPr>
                <w:rFonts w:cstheme="minorHAnsi"/>
                <w:sz w:val="20"/>
                <w:szCs w:val="20"/>
              </w:rPr>
              <w:t xml:space="preserve"> </w:t>
            </w:r>
            <w:r w:rsidR="00FC4CD3" w:rsidRPr="001D25B1">
              <w:rPr>
                <w:rFonts w:cstheme="minorHAnsi"/>
                <w:sz w:val="20"/>
                <w:szCs w:val="20"/>
              </w:rPr>
              <w:t xml:space="preserve">(selected) </w:t>
            </w:r>
            <w:r w:rsidRPr="001D25B1">
              <w:rPr>
                <w:rFonts w:cstheme="minorHAnsi"/>
                <w:sz w:val="20"/>
                <w:szCs w:val="20"/>
              </w:rPr>
              <w:t>for WCAH</w:t>
            </w:r>
            <w:r w:rsidR="00394AE4" w:rsidRPr="001D25B1">
              <w:rPr>
                <w:rFonts w:cstheme="minorHAnsi"/>
                <w:sz w:val="20"/>
                <w:szCs w:val="20"/>
              </w:rPr>
              <w:t xml:space="preserve"> and for other sectors (determinants of health outcomes)</w:t>
            </w:r>
          </w:p>
        </w:tc>
        <w:tc>
          <w:tcPr>
            <w:tcW w:w="1559" w:type="dxa"/>
          </w:tcPr>
          <w:p w14:paraId="1F4910BD" w14:textId="77777777" w:rsidR="006A6B63" w:rsidRPr="001D25B1" w:rsidRDefault="006A6B63" w:rsidP="006A6B63">
            <w:pPr>
              <w:rPr>
                <w:rFonts w:cstheme="minorHAnsi"/>
                <w:sz w:val="20"/>
                <w:szCs w:val="20"/>
              </w:rPr>
            </w:pPr>
            <w:r w:rsidRPr="001D25B1">
              <w:rPr>
                <w:rFonts w:cstheme="minorHAnsi"/>
                <w:sz w:val="20"/>
                <w:szCs w:val="20"/>
              </w:rPr>
              <w:t>Contribution</w:t>
            </w:r>
          </w:p>
        </w:tc>
        <w:tc>
          <w:tcPr>
            <w:tcW w:w="1276" w:type="dxa"/>
          </w:tcPr>
          <w:p w14:paraId="5113E293" w14:textId="21D31CA2" w:rsidR="006A6B63" w:rsidRPr="001D25B1" w:rsidRDefault="006A6B63" w:rsidP="006A6B63">
            <w:pPr>
              <w:rPr>
                <w:rFonts w:cstheme="minorHAnsi"/>
                <w:sz w:val="20"/>
                <w:szCs w:val="20"/>
              </w:rPr>
            </w:pPr>
            <w:r w:rsidRPr="001D25B1">
              <w:rPr>
                <w:rFonts w:cstheme="minorHAnsi"/>
                <w:sz w:val="20"/>
                <w:szCs w:val="20"/>
              </w:rPr>
              <w:t>2030 (with annual</w:t>
            </w:r>
            <w:r w:rsidR="001C6E89" w:rsidRPr="001D25B1">
              <w:rPr>
                <w:rFonts w:cstheme="minorHAnsi"/>
                <w:sz w:val="20"/>
                <w:szCs w:val="20"/>
              </w:rPr>
              <w:t xml:space="preserve"> </w:t>
            </w:r>
            <w:r w:rsidRPr="001D25B1">
              <w:rPr>
                <w:rFonts w:cstheme="minorHAnsi"/>
                <w:sz w:val="20"/>
                <w:szCs w:val="20"/>
              </w:rPr>
              <w:t>progress checks)</w:t>
            </w:r>
          </w:p>
        </w:tc>
        <w:tc>
          <w:tcPr>
            <w:tcW w:w="2126" w:type="dxa"/>
          </w:tcPr>
          <w:p w14:paraId="02E7F8EC" w14:textId="77777777" w:rsidR="006A6B63" w:rsidRPr="001D25B1" w:rsidRDefault="006A6B63" w:rsidP="006A6B63">
            <w:pPr>
              <w:rPr>
                <w:rFonts w:cstheme="minorHAnsi"/>
                <w:sz w:val="20"/>
                <w:szCs w:val="20"/>
              </w:rPr>
            </w:pPr>
            <w:r w:rsidRPr="001D25B1">
              <w:rPr>
                <w:rFonts w:cstheme="minorHAnsi"/>
                <w:sz w:val="20"/>
                <w:szCs w:val="20"/>
              </w:rPr>
              <w:t>UN High-level Political Forum; GHO/WHO</w:t>
            </w:r>
          </w:p>
        </w:tc>
      </w:tr>
      <w:tr w:rsidR="00757123" w:rsidRPr="001D25B1" w14:paraId="15CC8F29" w14:textId="77777777" w:rsidTr="0095545E">
        <w:tc>
          <w:tcPr>
            <w:tcW w:w="9067" w:type="dxa"/>
            <w:gridSpan w:val="4"/>
            <w:shd w:val="clear" w:color="auto" w:fill="D9E2F3" w:themeFill="accent1" w:themeFillTint="33"/>
          </w:tcPr>
          <w:p w14:paraId="18307386" w14:textId="7BE338D7" w:rsidR="00757123" w:rsidRPr="001D25B1" w:rsidRDefault="00757123" w:rsidP="00757123">
            <w:pPr>
              <w:tabs>
                <w:tab w:val="left" w:pos="1640"/>
              </w:tabs>
              <w:rPr>
                <w:rFonts w:cstheme="minorHAnsi"/>
                <w:b/>
                <w:bCs/>
                <w:sz w:val="20"/>
                <w:szCs w:val="20"/>
              </w:rPr>
            </w:pPr>
            <w:r w:rsidRPr="001D25B1">
              <w:rPr>
                <w:rFonts w:cstheme="minorHAnsi"/>
                <w:b/>
                <w:bCs/>
                <w:sz w:val="20"/>
                <w:szCs w:val="20"/>
              </w:rPr>
              <w:t>OUTCOMES</w:t>
            </w:r>
          </w:p>
        </w:tc>
      </w:tr>
      <w:tr w:rsidR="006A6B63" w:rsidRPr="001D25B1" w14:paraId="04A9C979" w14:textId="77777777" w:rsidTr="009D65C6">
        <w:tc>
          <w:tcPr>
            <w:tcW w:w="4106" w:type="dxa"/>
          </w:tcPr>
          <w:p w14:paraId="36D9F487" w14:textId="77777777" w:rsidR="006A6B63" w:rsidRPr="001D25B1" w:rsidRDefault="006A6B63" w:rsidP="006A6B63">
            <w:pPr>
              <w:rPr>
                <w:rFonts w:cstheme="minorHAnsi"/>
                <w:sz w:val="20"/>
                <w:szCs w:val="20"/>
              </w:rPr>
            </w:pPr>
            <w:r w:rsidRPr="001D25B1">
              <w:rPr>
                <w:rFonts w:cstheme="minorHAnsi"/>
                <w:b/>
                <w:bCs/>
                <w:sz w:val="20"/>
                <w:szCs w:val="20"/>
              </w:rPr>
              <w:t>A. POLICY: better policies &amp; legislation for WCAH</w:t>
            </w:r>
          </w:p>
          <w:p w14:paraId="6286C22C" w14:textId="3114C76A" w:rsidR="006A6B63" w:rsidRPr="001D25B1" w:rsidRDefault="006A6B63" w:rsidP="006A6B63">
            <w:pPr>
              <w:rPr>
                <w:rFonts w:cstheme="minorHAnsi"/>
                <w:sz w:val="20"/>
                <w:szCs w:val="20"/>
              </w:rPr>
            </w:pPr>
            <w:r w:rsidRPr="001D25B1">
              <w:rPr>
                <w:rFonts w:cstheme="minorHAnsi"/>
                <w:sz w:val="20"/>
                <w:szCs w:val="20"/>
              </w:rPr>
              <w:t xml:space="preserve">- WCAH present in </w:t>
            </w:r>
            <w:r w:rsidR="00B1559D" w:rsidRPr="001D25B1">
              <w:rPr>
                <w:rFonts w:cstheme="minorHAnsi"/>
                <w:sz w:val="20"/>
                <w:szCs w:val="20"/>
              </w:rPr>
              <w:t xml:space="preserve">national </w:t>
            </w:r>
            <w:r w:rsidRPr="001D25B1">
              <w:rPr>
                <w:rFonts w:cstheme="minorHAnsi"/>
                <w:sz w:val="20"/>
                <w:szCs w:val="20"/>
              </w:rPr>
              <w:t>plans</w:t>
            </w:r>
            <w:r w:rsidR="00B1559D" w:rsidRPr="001D25B1">
              <w:rPr>
                <w:rFonts w:cstheme="minorHAnsi"/>
                <w:sz w:val="20"/>
                <w:szCs w:val="20"/>
              </w:rPr>
              <w:t xml:space="preserve"> and</w:t>
            </w:r>
            <w:r w:rsidRPr="001D25B1">
              <w:rPr>
                <w:rFonts w:cstheme="minorHAnsi"/>
                <w:sz w:val="20"/>
                <w:szCs w:val="20"/>
              </w:rPr>
              <w:t xml:space="preserve"> laws</w:t>
            </w:r>
          </w:p>
          <w:p w14:paraId="66D3F7BC" w14:textId="77777777" w:rsidR="006A6B63" w:rsidRPr="001D25B1" w:rsidRDefault="006A6B63" w:rsidP="006A6B63">
            <w:pPr>
              <w:rPr>
                <w:rFonts w:cstheme="minorHAnsi"/>
                <w:sz w:val="20"/>
                <w:szCs w:val="20"/>
              </w:rPr>
            </w:pPr>
            <w:r w:rsidRPr="001D25B1">
              <w:rPr>
                <w:rFonts w:cstheme="minorHAnsi"/>
                <w:sz w:val="20"/>
                <w:szCs w:val="20"/>
              </w:rPr>
              <w:t>- WCAH present in international agency goals, plans and agreements</w:t>
            </w:r>
          </w:p>
          <w:p w14:paraId="6CD3DAC2" w14:textId="2E26D5AB" w:rsidR="006A6B63" w:rsidRPr="001D25B1" w:rsidRDefault="006A6B63" w:rsidP="006A6B63">
            <w:pPr>
              <w:rPr>
                <w:rFonts w:cstheme="minorHAnsi"/>
                <w:sz w:val="20"/>
                <w:szCs w:val="20"/>
              </w:rPr>
            </w:pPr>
            <w:r w:rsidRPr="001D25B1">
              <w:rPr>
                <w:rFonts w:cstheme="minorHAnsi"/>
                <w:sz w:val="20"/>
                <w:szCs w:val="20"/>
              </w:rPr>
              <w:t>- rights</w:t>
            </w:r>
            <w:r w:rsidR="00B1559D" w:rsidRPr="001D25B1">
              <w:rPr>
                <w:rFonts w:cstheme="minorHAnsi"/>
                <w:sz w:val="20"/>
                <w:szCs w:val="20"/>
              </w:rPr>
              <w:t xml:space="preserve"> relating to WCAH upheld</w:t>
            </w:r>
          </w:p>
        </w:tc>
        <w:tc>
          <w:tcPr>
            <w:tcW w:w="1559" w:type="dxa"/>
          </w:tcPr>
          <w:p w14:paraId="167C4129" w14:textId="77777777" w:rsidR="006A6B63" w:rsidRPr="001D25B1" w:rsidRDefault="006A6B63" w:rsidP="006A6B63">
            <w:pPr>
              <w:rPr>
                <w:rFonts w:cstheme="minorHAnsi"/>
                <w:sz w:val="20"/>
                <w:szCs w:val="20"/>
              </w:rPr>
            </w:pPr>
            <w:r w:rsidRPr="001D25B1">
              <w:rPr>
                <w:rFonts w:cstheme="minorHAnsi"/>
                <w:sz w:val="20"/>
                <w:szCs w:val="20"/>
              </w:rPr>
              <w:t>Contribution</w:t>
            </w:r>
          </w:p>
        </w:tc>
        <w:tc>
          <w:tcPr>
            <w:tcW w:w="1276" w:type="dxa"/>
          </w:tcPr>
          <w:p w14:paraId="37DC7EF6" w14:textId="77777777" w:rsidR="006A6B63" w:rsidRPr="001D25B1" w:rsidRDefault="006A6B63" w:rsidP="006A6B63">
            <w:pPr>
              <w:rPr>
                <w:rFonts w:cstheme="minorHAnsi"/>
                <w:sz w:val="20"/>
                <w:szCs w:val="20"/>
              </w:rPr>
            </w:pPr>
            <w:r w:rsidRPr="001D25B1">
              <w:rPr>
                <w:rFonts w:cstheme="minorHAnsi"/>
                <w:sz w:val="20"/>
                <w:szCs w:val="20"/>
              </w:rPr>
              <w:t>Annual</w:t>
            </w:r>
          </w:p>
        </w:tc>
        <w:tc>
          <w:tcPr>
            <w:tcW w:w="2126" w:type="dxa"/>
          </w:tcPr>
          <w:p w14:paraId="20FF7EA2" w14:textId="5F717EC2" w:rsidR="006A6B63" w:rsidRPr="001D25B1" w:rsidRDefault="006A6B63" w:rsidP="006A6B63">
            <w:pPr>
              <w:rPr>
                <w:rFonts w:cstheme="minorHAnsi"/>
                <w:sz w:val="20"/>
                <w:szCs w:val="20"/>
              </w:rPr>
            </w:pPr>
            <w:r w:rsidRPr="001D25B1">
              <w:rPr>
                <w:rFonts w:cstheme="minorHAnsi"/>
                <w:sz w:val="20"/>
                <w:szCs w:val="20"/>
              </w:rPr>
              <w:t>Relevant national, regional, global documents</w:t>
            </w:r>
            <w:r w:rsidR="00B1559D" w:rsidRPr="001D25B1">
              <w:rPr>
                <w:rFonts w:cstheme="minorHAnsi"/>
                <w:sz w:val="20"/>
                <w:szCs w:val="20"/>
              </w:rPr>
              <w:t xml:space="preserve">; national health plans; human rights reporting </w:t>
            </w:r>
          </w:p>
        </w:tc>
      </w:tr>
      <w:tr w:rsidR="006A6B63" w:rsidRPr="001D25B1" w14:paraId="47EFDFED" w14:textId="77777777" w:rsidTr="009D65C6">
        <w:tc>
          <w:tcPr>
            <w:tcW w:w="4106" w:type="dxa"/>
          </w:tcPr>
          <w:p w14:paraId="0255097E" w14:textId="77777777" w:rsidR="006A6B63" w:rsidRPr="001D25B1" w:rsidRDefault="006A6B63" w:rsidP="006A6B63">
            <w:pPr>
              <w:rPr>
                <w:rFonts w:cstheme="minorHAnsi"/>
                <w:sz w:val="20"/>
                <w:szCs w:val="20"/>
              </w:rPr>
            </w:pPr>
            <w:r w:rsidRPr="001D25B1">
              <w:rPr>
                <w:rFonts w:cstheme="minorHAnsi"/>
                <w:b/>
                <w:bCs/>
                <w:sz w:val="20"/>
                <w:szCs w:val="20"/>
              </w:rPr>
              <w:t>B. FINANCING: more and better financing for WCAH</w:t>
            </w:r>
          </w:p>
          <w:p w14:paraId="1359D5FC" w14:textId="77777777" w:rsidR="006A6B63" w:rsidRPr="001D25B1" w:rsidRDefault="006A6B63" w:rsidP="006A6B63">
            <w:pPr>
              <w:rPr>
                <w:rFonts w:cstheme="minorHAnsi"/>
                <w:sz w:val="20"/>
                <w:szCs w:val="20"/>
              </w:rPr>
            </w:pPr>
            <w:r w:rsidRPr="001D25B1">
              <w:rPr>
                <w:rFonts w:cstheme="minorHAnsi"/>
                <w:sz w:val="20"/>
                <w:szCs w:val="20"/>
              </w:rPr>
              <w:t>- increased domestic financing to WCAH</w:t>
            </w:r>
          </w:p>
          <w:p w14:paraId="7872CDCA" w14:textId="77777777" w:rsidR="006A6B63" w:rsidRPr="001D25B1" w:rsidRDefault="006A6B63" w:rsidP="006A6B63">
            <w:pPr>
              <w:rPr>
                <w:rFonts w:cstheme="minorHAnsi"/>
                <w:sz w:val="20"/>
                <w:szCs w:val="20"/>
              </w:rPr>
            </w:pPr>
            <w:r w:rsidRPr="001D25B1">
              <w:rPr>
                <w:rFonts w:cstheme="minorHAnsi"/>
                <w:sz w:val="20"/>
                <w:szCs w:val="20"/>
              </w:rPr>
              <w:t>- increased ODA to WCAH</w:t>
            </w:r>
          </w:p>
          <w:p w14:paraId="674DBA80" w14:textId="77777777" w:rsidR="006A6B63" w:rsidRPr="001D25B1" w:rsidRDefault="006A6B63" w:rsidP="006A6B63">
            <w:pPr>
              <w:rPr>
                <w:rFonts w:cstheme="minorHAnsi"/>
                <w:sz w:val="20"/>
                <w:szCs w:val="20"/>
              </w:rPr>
            </w:pPr>
            <w:r w:rsidRPr="001D25B1">
              <w:rPr>
                <w:rFonts w:cstheme="minorHAnsi"/>
                <w:sz w:val="20"/>
                <w:szCs w:val="20"/>
              </w:rPr>
              <w:t>- increased &amp; aligned private sector investment</w:t>
            </w:r>
          </w:p>
        </w:tc>
        <w:tc>
          <w:tcPr>
            <w:tcW w:w="1559" w:type="dxa"/>
          </w:tcPr>
          <w:p w14:paraId="2BF8A954" w14:textId="77777777" w:rsidR="006A6B63" w:rsidRPr="001D25B1" w:rsidRDefault="006A6B63" w:rsidP="006A6B63">
            <w:pPr>
              <w:rPr>
                <w:rFonts w:cstheme="minorHAnsi"/>
                <w:sz w:val="20"/>
                <w:szCs w:val="20"/>
              </w:rPr>
            </w:pPr>
            <w:r w:rsidRPr="001D25B1">
              <w:rPr>
                <w:rFonts w:cstheme="minorHAnsi"/>
                <w:sz w:val="20"/>
                <w:szCs w:val="20"/>
              </w:rPr>
              <w:t>Contribution</w:t>
            </w:r>
          </w:p>
        </w:tc>
        <w:tc>
          <w:tcPr>
            <w:tcW w:w="1276" w:type="dxa"/>
          </w:tcPr>
          <w:p w14:paraId="7D84B369" w14:textId="77777777" w:rsidR="006A6B63" w:rsidRPr="001D25B1" w:rsidRDefault="006A6B63" w:rsidP="006A6B63">
            <w:pPr>
              <w:rPr>
                <w:rFonts w:cstheme="minorHAnsi"/>
                <w:sz w:val="20"/>
                <w:szCs w:val="20"/>
              </w:rPr>
            </w:pPr>
            <w:r w:rsidRPr="001D25B1">
              <w:rPr>
                <w:rFonts w:cstheme="minorHAnsi"/>
                <w:sz w:val="20"/>
                <w:szCs w:val="20"/>
              </w:rPr>
              <w:t>Annual</w:t>
            </w:r>
          </w:p>
        </w:tc>
        <w:tc>
          <w:tcPr>
            <w:tcW w:w="2126" w:type="dxa"/>
          </w:tcPr>
          <w:p w14:paraId="66E3B050" w14:textId="77777777" w:rsidR="006A6B63" w:rsidRPr="001D25B1" w:rsidRDefault="006A6B63" w:rsidP="006A6B63">
            <w:pPr>
              <w:rPr>
                <w:rFonts w:cstheme="minorHAnsi"/>
                <w:sz w:val="20"/>
                <w:szCs w:val="20"/>
              </w:rPr>
            </w:pPr>
            <w:r w:rsidRPr="001D25B1">
              <w:rPr>
                <w:rFonts w:cstheme="minorHAnsi"/>
                <w:sz w:val="20"/>
                <w:szCs w:val="20"/>
              </w:rPr>
              <w:t>World Bank / WHO; GFF; OECD DAC</w:t>
            </w:r>
          </w:p>
        </w:tc>
      </w:tr>
      <w:tr w:rsidR="006A6B63" w:rsidRPr="001D25B1" w14:paraId="642C942D" w14:textId="77777777" w:rsidTr="009D65C6">
        <w:tc>
          <w:tcPr>
            <w:tcW w:w="4106" w:type="dxa"/>
          </w:tcPr>
          <w:p w14:paraId="20276ABB" w14:textId="060DDB36" w:rsidR="006A6B63" w:rsidRPr="001D25B1" w:rsidRDefault="006A6B63" w:rsidP="006A6B63">
            <w:pPr>
              <w:rPr>
                <w:rFonts w:cstheme="minorHAnsi"/>
                <w:sz w:val="20"/>
                <w:szCs w:val="20"/>
              </w:rPr>
            </w:pPr>
            <w:r w:rsidRPr="001D25B1">
              <w:rPr>
                <w:rFonts w:cstheme="minorHAnsi"/>
                <w:b/>
                <w:bCs/>
                <w:sz w:val="20"/>
                <w:szCs w:val="20"/>
              </w:rPr>
              <w:t xml:space="preserve">C. SERVICES: Increased coverage </w:t>
            </w:r>
            <w:r w:rsidR="00FC4CD3" w:rsidRPr="001D25B1">
              <w:rPr>
                <w:rFonts w:cstheme="minorHAnsi"/>
                <w:b/>
                <w:bCs/>
                <w:sz w:val="20"/>
                <w:szCs w:val="20"/>
              </w:rPr>
              <w:t xml:space="preserve">and uptake </w:t>
            </w:r>
            <w:r w:rsidRPr="001D25B1">
              <w:rPr>
                <w:rFonts w:cstheme="minorHAnsi"/>
                <w:b/>
                <w:bCs/>
                <w:sz w:val="20"/>
                <w:szCs w:val="20"/>
              </w:rPr>
              <w:t>of quality services</w:t>
            </w:r>
          </w:p>
          <w:p w14:paraId="233639D7" w14:textId="77777777" w:rsidR="006A6B63" w:rsidRPr="001D25B1" w:rsidRDefault="006A6B63" w:rsidP="006A6B63">
            <w:pPr>
              <w:rPr>
                <w:rFonts w:cstheme="minorHAnsi"/>
                <w:sz w:val="20"/>
                <w:szCs w:val="20"/>
              </w:rPr>
            </w:pPr>
            <w:r w:rsidRPr="001D25B1">
              <w:rPr>
                <w:rFonts w:cstheme="minorHAnsi"/>
                <w:sz w:val="20"/>
                <w:szCs w:val="20"/>
              </w:rPr>
              <w:t>- increased coverage of essential interventions for WCAH in PHC &amp; UHC</w:t>
            </w:r>
          </w:p>
          <w:p w14:paraId="1CBDCE69" w14:textId="77777777" w:rsidR="009D65C6" w:rsidRDefault="006A6B63" w:rsidP="009D65C6">
            <w:pPr>
              <w:rPr>
                <w:rFonts w:cstheme="minorHAnsi"/>
                <w:sz w:val="20"/>
                <w:szCs w:val="20"/>
              </w:rPr>
            </w:pPr>
            <w:r w:rsidRPr="001D25B1">
              <w:rPr>
                <w:rFonts w:cstheme="minorHAnsi"/>
                <w:sz w:val="20"/>
                <w:szCs w:val="20"/>
              </w:rPr>
              <w:t xml:space="preserve">- increased </w:t>
            </w:r>
            <w:r w:rsidRPr="009D65C6">
              <w:rPr>
                <w:rFonts w:cstheme="minorHAnsi"/>
                <w:sz w:val="20"/>
                <w:szCs w:val="20"/>
              </w:rPr>
              <w:t xml:space="preserve">number of </w:t>
            </w:r>
            <w:r w:rsidR="00B1559D" w:rsidRPr="009D65C6">
              <w:rPr>
                <w:rFonts w:cstheme="minorHAnsi"/>
                <w:sz w:val="20"/>
                <w:szCs w:val="20"/>
              </w:rPr>
              <w:t>midwives and nurses</w:t>
            </w:r>
          </w:p>
          <w:p w14:paraId="1622E165" w14:textId="77777777" w:rsidR="009D65C6" w:rsidRDefault="009D65C6" w:rsidP="009D65C6">
            <w:pPr>
              <w:rPr>
                <w:rFonts w:cstheme="minorHAnsi"/>
                <w:sz w:val="20"/>
                <w:szCs w:val="20"/>
              </w:rPr>
            </w:pPr>
            <w:r w:rsidRPr="00A95BB4">
              <w:rPr>
                <w:rFonts w:cstheme="minorHAnsi"/>
                <w:sz w:val="20"/>
                <w:szCs w:val="20"/>
              </w:rPr>
              <w:t>- increased access to essential medicines and commodities</w:t>
            </w:r>
          </w:p>
          <w:p w14:paraId="72559F88" w14:textId="18A8E9A2" w:rsidR="006A6B63" w:rsidRPr="001D25B1" w:rsidRDefault="009D65C6" w:rsidP="006A6B63">
            <w:pPr>
              <w:rPr>
                <w:rFonts w:cstheme="minorHAnsi"/>
                <w:sz w:val="20"/>
                <w:szCs w:val="20"/>
              </w:rPr>
            </w:pPr>
            <w:r>
              <w:rPr>
                <w:rFonts w:cstheme="minorHAnsi"/>
                <w:sz w:val="20"/>
                <w:szCs w:val="20"/>
              </w:rPr>
              <w:t>- i</w:t>
            </w:r>
            <w:r w:rsidRPr="009D65C6">
              <w:rPr>
                <w:rFonts w:cstheme="minorHAnsi"/>
                <w:sz w:val="20"/>
                <w:szCs w:val="20"/>
              </w:rPr>
              <w:t>mproved quality and uptake of services</w:t>
            </w:r>
          </w:p>
        </w:tc>
        <w:tc>
          <w:tcPr>
            <w:tcW w:w="1559" w:type="dxa"/>
          </w:tcPr>
          <w:p w14:paraId="59D6079C" w14:textId="77777777" w:rsidR="006A6B63" w:rsidRPr="001D25B1" w:rsidRDefault="006A6B63" w:rsidP="006A6B63">
            <w:pPr>
              <w:rPr>
                <w:rFonts w:cstheme="minorHAnsi"/>
                <w:sz w:val="20"/>
                <w:szCs w:val="20"/>
              </w:rPr>
            </w:pPr>
            <w:r w:rsidRPr="001D25B1">
              <w:rPr>
                <w:rFonts w:cstheme="minorHAnsi"/>
                <w:sz w:val="20"/>
                <w:szCs w:val="20"/>
              </w:rPr>
              <w:t>Contribution</w:t>
            </w:r>
          </w:p>
        </w:tc>
        <w:tc>
          <w:tcPr>
            <w:tcW w:w="1276" w:type="dxa"/>
          </w:tcPr>
          <w:p w14:paraId="02EED866" w14:textId="77777777" w:rsidR="006A6B63" w:rsidRPr="001D25B1" w:rsidRDefault="006A6B63" w:rsidP="006A6B63">
            <w:pPr>
              <w:rPr>
                <w:rFonts w:cstheme="minorHAnsi"/>
                <w:sz w:val="20"/>
                <w:szCs w:val="20"/>
              </w:rPr>
            </w:pPr>
            <w:r w:rsidRPr="001D25B1">
              <w:rPr>
                <w:rFonts w:cstheme="minorHAnsi"/>
                <w:sz w:val="20"/>
                <w:szCs w:val="20"/>
              </w:rPr>
              <w:t>Annual</w:t>
            </w:r>
          </w:p>
        </w:tc>
        <w:tc>
          <w:tcPr>
            <w:tcW w:w="2126" w:type="dxa"/>
          </w:tcPr>
          <w:p w14:paraId="1FF063AD" w14:textId="77777777" w:rsidR="006A6B63" w:rsidRPr="001D25B1" w:rsidRDefault="006A6B63" w:rsidP="006A6B63">
            <w:pPr>
              <w:rPr>
                <w:rFonts w:cstheme="minorHAnsi"/>
                <w:sz w:val="20"/>
                <w:szCs w:val="20"/>
              </w:rPr>
            </w:pPr>
            <w:r w:rsidRPr="001D25B1">
              <w:rPr>
                <w:rFonts w:cstheme="minorHAnsi"/>
                <w:sz w:val="20"/>
                <w:szCs w:val="20"/>
              </w:rPr>
              <w:t>WHO; Countdown to 2030; UNFPA</w:t>
            </w:r>
          </w:p>
        </w:tc>
      </w:tr>
      <w:tr w:rsidR="00757123" w:rsidRPr="001D25B1" w14:paraId="28CE0C06" w14:textId="77777777" w:rsidTr="0095545E">
        <w:tc>
          <w:tcPr>
            <w:tcW w:w="9067" w:type="dxa"/>
            <w:gridSpan w:val="4"/>
            <w:shd w:val="clear" w:color="auto" w:fill="D9E2F3" w:themeFill="accent1" w:themeFillTint="33"/>
          </w:tcPr>
          <w:p w14:paraId="4646E50D" w14:textId="7BB058DE" w:rsidR="00757123" w:rsidRPr="001D25B1" w:rsidRDefault="00757123" w:rsidP="00757123">
            <w:pPr>
              <w:rPr>
                <w:rFonts w:cstheme="minorHAnsi"/>
                <w:b/>
                <w:bCs/>
                <w:sz w:val="20"/>
                <w:szCs w:val="20"/>
              </w:rPr>
            </w:pPr>
            <w:r w:rsidRPr="001D25B1">
              <w:rPr>
                <w:rFonts w:cstheme="minorHAnsi"/>
                <w:b/>
                <w:bCs/>
                <w:sz w:val="20"/>
                <w:szCs w:val="20"/>
              </w:rPr>
              <w:t>OUTPUTS</w:t>
            </w:r>
          </w:p>
        </w:tc>
      </w:tr>
      <w:tr w:rsidR="006A6B63" w:rsidRPr="001D25B1" w14:paraId="127AF525" w14:textId="77777777" w:rsidTr="009D65C6">
        <w:tc>
          <w:tcPr>
            <w:tcW w:w="4106" w:type="dxa"/>
          </w:tcPr>
          <w:p w14:paraId="5A61BCEE" w14:textId="77777777" w:rsidR="006A6B63" w:rsidRPr="001D25B1" w:rsidRDefault="006A6B63" w:rsidP="006A6B63">
            <w:pPr>
              <w:rPr>
                <w:rFonts w:cstheme="minorHAnsi"/>
                <w:sz w:val="20"/>
                <w:szCs w:val="20"/>
              </w:rPr>
            </w:pPr>
            <w:r w:rsidRPr="001D25B1">
              <w:rPr>
                <w:rFonts w:cstheme="minorHAnsi"/>
                <w:sz w:val="20"/>
                <w:szCs w:val="20"/>
              </w:rPr>
              <w:t xml:space="preserve">Outputs of </w:t>
            </w:r>
            <w:r w:rsidRPr="001D25B1">
              <w:rPr>
                <w:rFonts w:cstheme="minorHAnsi"/>
                <w:b/>
                <w:bCs/>
                <w:sz w:val="20"/>
                <w:szCs w:val="20"/>
              </w:rPr>
              <w:t>Activities</w:t>
            </w:r>
            <w:r w:rsidRPr="001D25B1">
              <w:rPr>
                <w:rFonts w:cstheme="minorHAnsi"/>
                <w:sz w:val="20"/>
                <w:szCs w:val="20"/>
              </w:rPr>
              <w:t xml:space="preserve"> to be specified in Annual Workplan</w:t>
            </w:r>
          </w:p>
        </w:tc>
        <w:tc>
          <w:tcPr>
            <w:tcW w:w="1559" w:type="dxa"/>
          </w:tcPr>
          <w:p w14:paraId="7299DC23" w14:textId="77777777" w:rsidR="006A6B63" w:rsidRPr="001D25B1" w:rsidRDefault="006A6B63" w:rsidP="006A6B63">
            <w:pPr>
              <w:rPr>
                <w:rFonts w:cstheme="minorHAnsi"/>
                <w:sz w:val="20"/>
                <w:szCs w:val="20"/>
              </w:rPr>
            </w:pPr>
            <w:r w:rsidRPr="001D25B1">
              <w:rPr>
                <w:rFonts w:cstheme="minorHAnsi"/>
                <w:sz w:val="20"/>
                <w:szCs w:val="20"/>
              </w:rPr>
              <w:t>Attribution (Partners &amp; Secretariat)</w:t>
            </w:r>
          </w:p>
        </w:tc>
        <w:tc>
          <w:tcPr>
            <w:tcW w:w="1276" w:type="dxa"/>
          </w:tcPr>
          <w:p w14:paraId="139F1737" w14:textId="77777777" w:rsidR="006A6B63" w:rsidRPr="001D25B1" w:rsidRDefault="006A6B63" w:rsidP="006A6B63">
            <w:pPr>
              <w:rPr>
                <w:rFonts w:cstheme="minorHAnsi"/>
                <w:sz w:val="20"/>
                <w:szCs w:val="20"/>
              </w:rPr>
            </w:pPr>
            <w:r w:rsidRPr="001D25B1">
              <w:rPr>
                <w:rFonts w:cstheme="minorHAnsi"/>
                <w:sz w:val="20"/>
                <w:szCs w:val="20"/>
              </w:rPr>
              <w:t>Annual</w:t>
            </w:r>
          </w:p>
        </w:tc>
        <w:tc>
          <w:tcPr>
            <w:tcW w:w="2126" w:type="dxa"/>
          </w:tcPr>
          <w:p w14:paraId="594A4D0E" w14:textId="0BD37AE7" w:rsidR="006A6B63" w:rsidRPr="001D25B1" w:rsidRDefault="006A6B63" w:rsidP="006A6B63">
            <w:pPr>
              <w:rPr>
                <w:rFonts w:cstheme="minorHAnsi"/>
                <w:sz w:val="20"/>
                <w:szCs w:val="20"/>
              </w:rPr>
            </w:pPr>
            <w:r w:rsidRPr="001D25B1">
              <w:rPr>
                <w:rFonts w:cstheme="minorHAnsi"/>
                <w:sz w:val="20"/>
                <w:szCs w:val="20"/>
              </w:rPr>
              <w:t xml:space="preserve">PMNCH Annual Workplan &amp; Review; </w:t>
            </w:r>
            <w:r w:rsidR="00F03596" w:rsidRPr="001D25B1">
              <w:rPr>
                <w:rFonts w:cstheme="minorHAnsi"/>
                <w:sz w:val="20"/>
                <w:szCs w:val="20"/>
              </w:rPr>
              <w:t xml:space="preserve">tracking digital engagement; </w:t>
            </w:r>
            <w:r w:rsidRPr="001D25B1">
              <w:rPr>
                <w:rFonts w:cstheme="minorHAnsi"/>
                <w:sz w:val="20"/>
                <w:szCs w:val="20"/>
              </w:rPr>
              <w:t>Audit</w:t>
            </w:r>
          </w:p>
        </w:tc>
      </w:tr>
      <w:tr w:rsidR="00757123" w:rsidRPr="001D25B1" w14:paraId="04E37DA2" w14:textId="77777777" w:rsidTr="0095545E">
        <w:tc>
          <w:tcPr>
            <w:tcW w:w="9067" w:type="dxa"/>
            <w:gridSpan w:val="4"/>
            <w:shd w:val="clear" w:color="auto" w:fill="D9E2F3" w:themeFill="accent1" w:themeFillTint="33"/>
          </w:tcPr>
          <w:p w14:paraId="448D8992" w14:textId="7CE8E2EF" w:rsidR="00757123" w:rsidRPr="001D25B1" w:rsidRDefault="00757123" w:rsidP="006A6B63">
            <w:pPr>
              <w:rPr>
                <w:rFonts w:cstheme="minorHAnsi"/>
                <w:b/>
                <w:bCs/>
                <w:sz w:val="20"/>
                <w:szCs w:val="20"/>
              </w:rPr>
            </w:pPr>
            <w:r w:rsidRPr="001D25B1">
              <w:rPr>
                <w:rFonts w:cstheme="minorHAnsi"/>
                <w:b/>
                <w:bCs/>
                <w:sz w:val="20"/>
                <w:szCs w:val="20"/>
              </w:rPr>
              <w:t>INPUTS</w:t>
            </w:r>
          </w:p>
        </w:tc>
      </w:tr>
      <w:tr w:rsidR="006A6B63" w:rsidRPr="001D25B1" w14:paraId="6A9DF563" w14:textId="77777777" w:rsidTr="009D65C6">
        <w:tc>
          <w:tcPr>
            <w:tcW w:w="4106" w:type="dxa"/>
          </w:tcPr>
          <w:p w14:paraId="3B2DA382" w14:textId="77777777" w:rsidR="006A6B63" w:rsidRPr="001D25B1" w:rsidRDefault="006A6B63" w:rsidP="006A6B63">
            <w:pPr>
              <w:rPr>
                <w:rFonts w:cstheme="minorHAnsi"/>
                <w:b/>
                <w:bCs/>
                <w:sz w:val="20"/>
                <w:szCs w:val="20"/>
              </w:rPr>
            </w:pPr>
            <w:r w:rsidRPr="001D25B1">
              <w:rPr>
                <w:rFonts w:cstheme="minorHAnsi"/>
                <w:b/>
                <w:bCs/>
                <w:sz w:val="20"/>
                <w:szCs w:val="20"/>
              </w:rPr>
              <w:t>Financial &amp; human resources</w:t>
            </w:r>
            <w:r w:rsidRPr="001D25B1">
              <w:rPr>
                <w:rFonts w:cstheme="minorHAnsi"/>
                <w:sz w:val="20"/>
                <w:szCs w:val="20"/>
              </w:rPr>
              <w:t xml:space="preserve"> to be specified in Annual Workplan</w:t>
            </w:r>
          </w:p>
        </w:tc>
        <w:tc>
          <w:tcPr>
            <w:tcW w:w="1559" w:type="dxa"/>
          </w:tcPr>
          <w:p w14:paraId="60E6882B" w14:textId="77777777" w:rsidR="006A6B63" w:rsidRPr="001D25B1" w:rsidRDefault="006A6B63" w:rsidP="006A6B63">
            <w:pPr>
              <w:rPr>
                <w:rFonts w:cstheme="minorHAnsi"/>
                <w:sz w:val="20"/>
                <w:szCs w:val="20"/>
              </w:rPr>
            </w:pPr>
            <w:r w:rsidRPr="001D25B1">
              <w:rPr>
                <w:rFonts w:cstheme="minorHAnsi"/>
                <w:sz w:val="20"/>
                <w:szCs w:val="20"/>
              </w:rPr>
              <w:t>Attribution (Secretariat)</w:t>
            </w:r>
          </w:p>
        </w:tc>
        <w:tc>
          <w:tcPr>
            <w:tcW w:w="1276" w:type="dxa"/>
          </w:tcPr>
          <w:p w14:paraId="0702C094" w14:textId="77777777" w:rsidR="006A6B63" w:rsidRPr="001D25B1" w:rsidRDefault="006A6B63" w:rsidP="006A6B63">
            <w:pPr>
              <w:rPr>
                <w:rFonts w:cstheme="minorHAnsi"/>
                <w:sz w:val="20"/>
                <w:szCs w:val="20"/>
              </w:rPr>
            </w:pPr>
            <w:r w:rsidRPr="001D25B1">
              <w:rPr>
                <w:rFonts w:cstheme="minorHAnsi"/>
                <w:sz w:val="20"/>
                <w:szCs w:val="20"/>
              </w:rPr>
              <w:t>Annual</w:t>
            </w:r>
          </w:p>
        </w:tc>
        <w:tc>
          <w:tcPr>
            <w:tcW w:w="2126" w:type="dxa"/>
          </w:tcPr>
          <w:p w14:paraId="0FA290E9" w14:textId="77777777" w:rsidR="006A6B63" w:rsidRPr="001D25B1" w:rsidRDefault="006A6B63" w:rsidP="006A6B63">
            <w:pPr>
              <w:rPr>
                <w:rFonts w:cstheme="minorHAnsi"/>
                <w:sz w:val="20"/>
                <w:szCs w:val="20"/>
              </w:rPr>
            </w:pPr>
            <w:r w:rsidRPr="001D25B1">
              <w:rPr>
                <w:rFonts w:cstheme="minorHAnsi"/>
                <w:sz w:val="20"/>
                <w:szCs w:val="20"/>
              </w:rPr>
              <w:t>PMNCH Annual Workplan &amp; Review; Audit</w:t>
            </w:r>
          </w:p>
        </w:tc>
      </w:tr>
    </w:tbl>
    <w:p w14:paraId="2DEAECC4" w14:textId="77777777" w:rsidR="00013D10" w:rsidRDefault="00013D10" w:rsidP="00B67FBC">
      <w:pPr>
        <w:pStyle w:val="ListParagraph"/>
        <w:ind w:left="0"/>
        <w:rPr>
          <w:rFonts w:cstheme="minorHAnsi"/>
          <w:sz w:val="20"/>
          <w:szCs w:val="20"/>
        </w:rPr>
      </w:pPr>
    </w:p>
    <w:p w14:paraId="39D880DA" w14:textId="0E551A42" w:rsidR="00B67FBC" w:rsidRPr="00013D10" w:rsidRDefault="00B67FBC" w:rsidP="00013D10">
      <w:pPr>
        <w:pStyle w:val="ListParagraph"/>
        <w:ind w:left="0"/>
        <w:jc w:val="both"/>
        <w:rPr>
          <w:rFonts w:cstheme="minorHAnsi"/>
          <w:sz w:val="20"/>
          <w:szCs w:val="20"/>
        </w:rPr>
      </w:pPr>
      <w:r w:rsidRPr="00013D10">
        <w:rPr>
          <w:rFonts w:cstheme="minorHAnsi"/>
          <w:sz w:val="20"/>
          <w:szCs w:val="20"/>
        </w:rPr>
        <w:t xml:space="preserve">* ‘Attribution’ </w:t>
      </w:r>
      <w:r w:rsidR="00013D10" w:rsidRPr="00013D10">
        <w:rPr>
          <w:rFonts w:cstheme="minorHAnsi"/>
          <w:sz w:val="20"/>
          <w:szCs w:val="20"/>
        </w:rPr>
        <w:t xml:space="preserve">applies to things within PMNCH’s control (i.e. </w:t>
      </w:r>
      <w:r w:rsidRPr="00013D10">
        <w:rPr>
          <w:rFonts w:cstheme="minorHAnsi"/>
          <w:sz w:val="20"/>
          <w:szCs w:val="20"/>
        </w:rPr>
        <w:t xml:space="preserve">management of </w:t>
      </w:r>
      <w:r w:rsidRPr="00013D10">
        <w:rPr>
          <w:rFonts w:cstheme="minorHAnsi"/>
          <w:b/>
          <w:bCs/>
          <w:sz w:val="20"/>
          <w:szCs w:val="20"/>
        </w:rPr>
        <w:t>inputs</w:t>
      </w:r>
      <w:r w:rsidR="00013D10" w:rsidRPr="00013D10">
        <w:rPr>
          <w:rFonts w:cstheme="minorHAnsi"/>
          <w:sz w:val="20"/>
          <w:szCs w:val="20"/>
        </w:rPr>
        <w:t>;</w:t>
      </w:r>
      <w:r w:rsidRPr="00013D10">
        <w:rPr>
          <w:rFonts w:cstheme="minorHAnsi"/>
          <w:sz w:val="20"/>
          <w:szCs w:val="20"/>
        </w:rPr>
        <w:t xml:space="preserve"> execution of activities </w:t>
      </w:r>
      <w:r w:rsidR="00013D10" w:rsidRPr="00013D10">
        <w:rPr>
          <w:rFonts w:cstheme="minorHAnsi"/>
          <w:sz w:val="20"/>
          <w:szCs w:val="20"/>
        </w:rPr>
        <w:t>to</w:t>
      </w:r>
      <w:r w:rsidRPr="00013D10">
        <w:rPr>
          <w:rFonts w:cstheme="minorHAnsi"/>
          <w:sz w:val="20"/>
          <w:szCs w:val="20"/>
        </w:rPr>
        <w:t xml:space="preserve"> deliver </w:t>
      </w:r>
      <w:r w:rsidRPr="00013D10">
        <w:rPr>
          <w:rFonts w:cstheme="minorHAnsi"/>
          <w:b/>
          <w:bCs/>
          <w:sz w:val="20"/>
          <w:szCs w:val="20"/>
        </w:rPr>
        <w:t>outputs</w:t>
      </w:r>
      <w:r w:rsidR="00A20408" w:rsidRPr="00A20408">
        <w:rPr>
          <w:rFonts w:cstheme="minorHAnsi"/>
          <w:sz w:val="20"/>
          <w:szCs w:val="20"/>
        </w:rPr>
        <w:t>)</w:t>
      </w:r>
      <w:r w:rsidR="00013D10">
        <w:rPr>
          <w:rFonts w:cstheme="minorHAnsi"/>
          <w:sz w:val="20"/>
          <w:szCs w:val="20"/>
        </w:rPr>
        <w:t>.</w:t>
      </w:r>
      <w:r w:rsidR="00013D10" w:rsidRPr="00013D10">
        <w:rPr>
          <w:rFonts w:cstheme="minorHAnsi"/>
          <w:sz w:val="20"/>
          <w:szCs w:val="20"/>
        </w:rPr>
        <w:t xml:space="preserve"> ‘Contribution’ applies to things outside of PMNCH’s full control (i.e. higher order </w:t>
      </w:r>
      <w:r w:rsidR="00013D10" w:rsidRPr="00013D10">
        <w:rPr>
          <w:rFonts w:cstheme="minorHAnsi"/>
          <w:b/>
          <w:bCs/>
          <w:sz w:val="20"/>
          <w:szCs w:val="20"/>
        </w:rPr>
        <w:t>outcomes</w:t>
      </w:r>
      <w:r w:rsidR="00013D10" w:rsidRPr="00013D10">
        <w:rPr>
          <w:rFonts w:cstheme="minorHAnsi"/>
          <w:sz w:val="20"/>
          <w:szCs w:val="20"/>
        </w:rPr>
        <w:t xml:space="preserve"> and </w:t>
      </w:r>
      <w:r w:rsidR="00013D10" w:rsidRPr="00013D10">
        <w:rPr>
          <w:rFonts w:cstheme="minorHAnsi"/>
          <w:b/>
          <w:bCs/>
          <w:sz w:val="20"/>
          <w:szCs w:val="20"/>
        </w:rPr>
        <w:t>impact</w:t>
      </w:r>
      <w:r w:rsidR="00013D10" w:rsidRPr="00013D10">
        <w:rPr>
          <w:rFonts w:cstheme="minorHAnsi"/>
          <w:sz w:val="20"/>
          <w:szCs w:val="20"/>
        </w:rPr>
        <w:t xml:space="preserve">). </w:t>
      </w:r>
      <w:r w:rsidR="00013D10">
        <w:rPr>
          <w:rFonts w:cstheme="minorHAnsi"/>
          <w:sz w:val="20"/>
          <w:szCs w:val="20"/>
        </w:rPr>
        <w:t>This distinction is important for establishing PMNCH’s accountabilities, including for future evaluations.</w:t>
      </w:r>
      <w:r w:rsidR="00013D10" w:rsidRPr="00013D10">
        <w:rPr>
          <w:rFonts w:cstheme="minorHAnsi"/>
          <w:sz w:val="20"/>
          <w:szCs w:val="20"/>
        </w:rPr>
        <w:t xml:space="preserve">  </w:t>
      </w:r>
    </w:p>
    <w:bookmarkEnd w:id="4"/>
    <w:p w14:paraId="499C77C4" w14:textId="70D0240B" w:rsidR="00B1559D" w:rsidRDefault="00B1559D">
      <w:pPr>
        <w:rPr>
          <w:rFonts w:cstheme="minorHAnsi"/>
          <w:b/>
          <w:bCs/>
          <w:color w:val="2F5496" w:themeColor="accent1" w:themeShade="BF"/>
        </w:rPr>
      </w:pPr>
      <w:r>
        <w:rPr>
          <w:rFonts w:cstheme="minorHAnsi"/>
          <w:b/>
          <w:bCs/>
          <w:color w:val="2F5496" w:themeColor="accent1" w:themeShade="BF"/>
        </w:rPr>
        <w:br w:type="page"/>
      </w:r>
    </w:p>
    <w:p w14:paraId="57FCEF36" w14:textId="5382524F" w:rsidR="0088497E" w:rsidRPr="00292BC1" w:rsidRDefault="000008B0" w:rsidP="000406C7">
      <w:pPr>
        <w:rPr>
          <w:rFonts w:cstheme="minorHAnsi"/>
          <w:b/>
          <w:bCs/>
          <w:color w:val="2F5496" w:themeColor="accent1" w:themeShade="BF"/>
        </w:rPr>
      </w:pPr>
      <w:r w:rsidRPr="00292BC1">
        <w:rPr>
          <w:rFonts w:cstheme="minorHAnsi"/>
          <w:b/>
          <w:bCs/>
          <w:color w:val="2F5496" w:themeColor="accent1" w:themeShade="BF"/>
        </w:rPr>
        <w:t>A</w:t>
      </w:r>
      <w:r w:rsidR="00630894" w:rsidRPr="00292BC1">
        <w:rPr>
          <w:rFonts w:cstheme="minorHAnsi"/>
          <w:b/>
          <w:bCs/>
          <w:color w:val="2F5496" w:themeColor="accent1" w:themeShade="BF"/>
        </w:rPr>
        <w:t>NNEX</w:t>
      </w:r>
      <w:r w:rsidR="0088497E" w:rsidRPr="00292BC1">
        <w:rPr>
          <w:rFonts w:cstheme="minorHAnsi"/>
          <w:b/>
          <w:bCs/>
          <w:color w:val="2F5496" w:themeColor="accent1" w:themeShade="BF"/>
        </w:rPr>
        <w:t xml:space="preserve"> 3</w:t>
      </w:r>
      <w:r w:rsidR="00292BC1" w:rsidRPr="00292BC1">
        <w:rPr>
          <w:rFonts w:cstheme="minorHAnsi"/>
          <w:b/>
          <w:bCs/>
          <w:color w:val="2F5496" w:themeColor="accent1" w:themeShade="BF"/>
        </w:rPr>
        <w:t xml:space="preserve">. </w:t>
      </w:r>
      <w:r w:rsidR="0088497E" w:rsidRPr="00292BC1">
        <w:rPr>
          <w:rFonts w:cstheme="minorHAnsi"/>
          <w:b/>
          <w:bCs/>
          <w:color w:val="2F5496" w:themeColor="accent1" w:themeShade="BF"/>
        </w:rPr>
        <w:t>R</w:t>
      </w:r>
      <w:r w:rsidR="00630894" w:rsidRPr="00292BC1">
        <w:rPr>
          <w:rFonts w:cstheme="minorHAnsi"/>
          <w:b/>
          <w:bCs/>
          <w:color w:val="2F5496" w:themeColor="accent1" w:themeShade="BF"/>
        </w:rPr>
        <w:t>isks &amp; Risk Management</w:t>
      </w:r>
    </w:p>
    <w:p w14:paraId="1D71C821" w14:textId="77777777" w:rsidR="0088497E" w:rsidRPr="00292BC1" w:rsidRDefault="0088497E" w:rsidP="000406C7">
      <w:pPr>
        <w:jc w:val="both"/>
        <w:rPr>
          <w:rFonts w:cstheme="minorHAnsi"/>
          <w:b/>
          <w:bCs/>
        </w:rPr>
      </w:pPr>
    </w:p>
    <w:p w14:paraId="54EBD3D2" w14:textId="77331910" w:rsidR="0088497E" w:rsidRPr="000406C7" w:rsidRDefault="0088497E" w:rsidP="000406C7">
      <w:pPr>
        <w:jc w:val="both"/>
        <w:rPr>
          <w:rFonts w:cstheme="minorHAnsi"/>
        </w:rPr>
      </w:pPr>
      <w:r w:rsidRPr="000406C7">
        <w:rPr>
          <w:rFonts w:cstheme="minorHAnsi"/>
        </w:rPr>
        <w:t>Risks listed below are derived from the ‘Assumptions / Risks’ listed in the Theory of Change</w:t>
      </w:r>
      <w:r w:rsidR="00B67FBC">
        <w:rPr>
          <w:rFonts w:cstheme="minorHAnsi"/>
        </w:rPr>
        <w:t xml:space="preserve"> (See Annex 1)</w:t>
      </w:r>
      <w:r w:rsidRPr="000406C7">
        <w:rPr>
          <w:rFonts w:cstheme="minorHAnsi"/>
        </w:rPr>
        <w:t xml:space="preserve">. </w:t>
      </w:r>
      <w:r w:rsidR="00B117B8">
        <w:rPr>
          <w:rFonts w:cstheme="minorHAnsi"/>
        </w:rPr>
        <w:t>They are divided into two catego</w:t>
      </w:r>
      <w:r w:rsidR="00C02240">
        <w:rPr>
          <w:rFonts w:cstheme="minorHAnsi"/>
        </w:rPr>
        <w:t>r</w:t>
      </w:r>
      <w:r w:rsidR="00B117B8">
        <w:rPr>
          <w:rFonts w:cstheme="minorHAnsi"/>
        </w:rPr>
        <w:t>ies: (</w:t>
      </w:r>
      <w:proofErr w:type="spellStart"/>
      <w:r w:rsidR="00B117B8">
        <w:rPr>
          <w:rFonts w:cstheme="minorHAnsi"/>
        </w:rPr>
        <w:t>i</w:t>
      </w:r>
      <w:proofErr w:type="spellEnd"/>
      <w:r w:rsidR="00B117B8">
        <w:rPr>
          <w:rFonts w:cstheme="minorHAnsi"/>
        </w:rPr>
        <w:t xml:space="preserve">) internal factors, and (ii) external factors. </w:t>
      </w:r>
      <w:r w:rsidRPr="000406C7">
        <w:rPr>
          <w:rFonts w:cstheme="minorHAnsi"/>
        </w:rPr>
        <w:t>They are headline risks and not exhaustive.</w:t>
      </w:r>
      <w:r w:rsidR="000406C7">
        <w:rPr>
          <w:rFonts w:cstheme="minorHAnsi"/>
        </w:rPr>
        <w:t xml:space="preserve"> </w:t>
      </w:r>
      <w:r w:rsidRPr="000406C7">
        <w:rPr>
          <w:rFonts w:cstheme="minorHAnsi"/>
        </w:rPr>
        <w:t xml:space="preserve">Risk management will also be addressed </w:t>
      </w:r>
      <w:r w:rsidR="000406C7">
        <w:rPr>
          <w:rFonts w:cstheme="minorHAnsi"/>
        </w:rPr>
        <w:t xml:space="preserve">on an ongoing basis by the Secretariat and the Board, including </w:t>
      </w:r>
      <w:r w:rsidRPr="000406C7">
        <w:rPr>
          <w:rFonts w:cstheme="minorHAnsi"/>
        </w:rPr>
        <w:t xml:space="preserve">through the Risk Register </w:t>
      </w:r>
      <w:r w:rsidR="000406C7">
        <w:rPr>
          <w:rFonts w:cstheme="minorHAnsi"/>
        </w:rPr>
        <w:t xml:space="preserve">formally </w:t>
      </w:r>
      <w:r w:rsidRPr="000406C7">
        <w:rPr>
          <w:rFonts w:cstheme="minorHAnsi"/>
        </w:rPr>
        <w:t>overseen by the Board.</w:t>
      </w:r>
    </w:p>
    <w:p w14:paraId="7629FE4C" w14:textId="77777777" w:rsidR="0088497E" w:rsidRPr="00292BC1" w:rsidRDefault="0088497E" w:rsidP="0088497E">
      <w:pPr>
        <w:rPr>
          <w:rFonts w:cstheme="min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5760"/>
      </w:tblGrid>
      <w:tr w:rsidR="0088497E" w:rsidRPr="00292BC1" w14:paraId="35685F1B" w14:textId="77777777" w:rsidTr="0080630E">
        <w:tc>
          <w:tcPr>
            <w:tcW w:w="3256" w:type="dxa"/>
            <w:shd w:val="clear" w:color="auto" w:fill="8EAADB" w:themeFill="accent1" w:themeFillTint="99"/>
          </w:tcPr>
          <w:p w14:paraId="440D8FBD" w14:textId="10EEA997" w:rsidR="0088497E" w:rsidRPr="00292BC1" w:rsidRDefault="001F07D7" w:rsidP="00777E14">
            <w:pPr>
              <w:jc w:val="center"/>
              <w:rPr>
                <w:rFonts w:cstheme="minorHAnsi"/>
                <w:b/>
                <w:bCs/>
              </w:rPr>
            </w:pPr>
            <w:r w:rsidRPr="00292BC1">
              <w:rPr>
                <w:rFonts w:cstheme="minorHAnsi"/>
                <w:b/>
                <w:bCs/>
              </w:rPr>
              <w:t>RISKS</w:t>
            </w:r>
          </w:p>
        </w:tc>
        <w:tc>
          <w:tcPr>
            <w:tcW w:w="5760" w:type="dxa"/>
            <w:shd w:val="clear" w:color="auto" w:fill="8EAADB" w:themeFill="accent1" w:themeFillTint="99"/>
          </w:tcPr>
          <w:p w14:paraId="57500F50" w14:textId="4D6EA271" w:rsidR="0088497E" w:rsidRPr="00292BC1" w:rsidRDefault="001F07D7" w:rsidP="00777E14">
            <w:pPr>
              <w:jc w:val="center"/>
              <w:rPr>
                <w:rFonts w:cstheme="minorHAnsi"/>
                <w:b/>
                <w:bCs/>
              </w:rPr>
            </w:pPr>
            <w:r w:rsidRPr="00292BC1">
              <w:rPr>
                <w:rFonts w:cstheme="minorHAnsi"/>
                <w:b/>
                <w:bCs/>
              </w:rPr>
              <w:t>RISK MANAGEMENT</w:t>
            </w:r>
          </w:p>
        </w:tc>
      </w:tr>
      <w:tr w:rsidR="00B117B8" w:rsidRPr="00292BC1" w14:paraId="389269ED" w14:textId="77777777" w:rsidTr="007332DD">
        <w:tc>
          <w:tcPr>
            <w:tcW w:w="9016" w:type="dxa"/>
            <w:gridSpan w:val="2"/>
            <w:shd w:val="clear" w:color="auto" w:fill="DEEAF6" w:themeFill="accent5" w:themeFillTint="33"/>
          </w:tcPr>
          <w:p w14:paraId="0A3BF0D2" w14:textId="088EB422" w:rsidR="00B117B8" w:rsidRPr="00292BC1" w:rsidRDefault="00B117B8" w:rsidP="0080630E">
            <w:pPr>
              <w:jc w:val="center"/>
              <w:rPr>
                <w:rFonts w:cstheme="minorHAnsi"/>
                <w:b/>
                <w:bCs/>
              </w:rPr>
            </w:pPr>
            <w:r>
              <w:rPr>
                <w:rFonts w:cstheme="minorHAnsi"/>
                <w:b/>
                <w:bCs/>
              </w:rPr>
              <w:t>INTERNAL FACTORS</w:t>
            </w:r>
          </w:p>
        </w:tc>
      </w:tr>
      <w:tr w:rsidR="0088497E" w:rsidRPr="00292BC1" w14:paraId="5C62B859" w14:textId="77777777" w:rsidTr="0080630E">
        <w:tc>
          <w:tcPr>
            <w:tcW w:w="3256" w:type="dxa"/>
          </w:tcPr>
          <w:p w14:paraId="00156FFF" w14:textId="77777777" w:rsidR="0088497E" w:rsidRPr="00292BC1" w:rsidRDefault="0088497E" w:rsidP="00777E14">
            <w:pPr>
              <w:rPr>
                <w:rFonts w:cstheme="minorHAnsi"/>
              </w:rPr>
            </w:pPr>
            <w:r w:rsidRPr="00292BC1">
              <w:rPr>
                <w:rFonts w:cstheme="minorHAnsi"/>
              </w:rPr>
              <w:t xml:space="preserve">1. PMNCH is </w:t>
            </w:r>
            <w:r w:rsidR="00CC6A52" w:rsidRPr="00292BC1">
              <w:rPr>
                <w:rFonts w:cstheme="minorHAnsi"/>
              </w:rPr>
              <w:t xml:space="preserve">not </w:t>
            </w:r>
            <w:r w:rsidRPr="00292BC1">
              <w:rPr>
                <w:rFonts w:cstheme="minorHAnsi"/>
              </w:rPr>
              <w:t xml:space="preserve">able to define, negotiate and communicate a unique </w:t>
            </w:r>
            <w:r w:rsidRPr="001F44F2">
              <w:rPr>
                <w:rFonts w:cstheme="minorHAnsi"/>
                <w:b/>
                <w:iCs/>
              </w:rPr>
              <w:t>value proposition</w:t>
            </w:r>
            <w:r w:rsidRPr="00292BC1">
              <w:rPr>
                <w:rFonts w:cstheme="minorHAnsi"/>
              </w:rPr>
              <w:t xml:space="preserve"> in the global health architecture</w:t>
            </w:r>
          </w:p>
        </w:tc>
        <w:tc>
          <w:tcPr>
            <w:tcW w:w="5760" w:type="dxa"/>
          </w:tcPr>
          <w:p w14:paraId="51762D4D"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PMNCH Strategy 2021 – 2025 and subsequent communications lay out a clear &amp; compelling PMNCH value proposition</w:t>
            </w:r>
          </w:p>
          <w:p w14:paraId="3DB4CE7F"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 xml:space="preserve">Board, PMNCH Partners, Secretariat all act as champions for PMNCH’s mission &amp; value   </w:t>
            </w:r>
          </w:p>
        </w:tc>
      </w:tr>
      <w:tr w:rsidR="0088497E" w:rsidRPr="00292BC1" w14:paraId="53C72DFB" w14:textId="77777777" w:rsidTr="0080630E">
        <w:tc>
          <w:tcPr>
            <w:tcW w:w="3256" w:type="dxa"/>
          </w:tcPr>
          <w:p w14:paraId="524722D8" w14:textId="77777777" w:rsidR="0088497E" w:rsidRPr="00292BC1" w:rsidRDefault="0088497E" w:rsidP="00777E14">
            <w:pPr>
              <w:rPr>
                <w:rFonts w:cstheme="minorHAnsi"/>
              </w:rPr>
            </w:pPr>
            <w:r w:rsidRPr="00292BC1">
              <w:rPr>
                <w:rFonts w:cstheme="minorHAnsi"/>
              </w:rPr>
              <w:t xml:space="preserve">2. PMNCH </w:t>
            </w:r>
            <w:r w:rsidR="00CC6A52" w:rsidRPr="00292BC1">
              <w:rPr>
                <w:rFonts w:cstheme="minorHAnsi"/>
              </w:rPr>
              <w:t xml:space="preserve">does not </w:t>
            </w:r>
            <w:r w:rsidRPr="00292BC1">
              <w:rPr>
                <w:rFonts w:cstheme="minorHAnsi"/>
              </w:rPr>
              <w:t>ha</w:t>
            </w:r>
            <w:r w:rsidR="00CC6A52" w:rsidRPr="00292BC1">
              <w:rPr>
                <w:rFonts w:cstheme="minorHAnsi"/>
              </w:rPr>
              <w:t>ve</w:t>
            </w:r>
            <w:r w:rsidRPr="00292BC1">
              <w:rPr>
                <w:rFonts w:cstheme="minorHAnsi"/>
              </w:rPr>
              <w:t xml:space="preserve"> the </w:t>
            </w:r>
            <w:r w:rsidRPr="001F44F2">
              <w:rPr>
                <w:rFonts w:cstheme="minorHAnsi"/>
                <w:b/>
                <w:iCs/>
              </w:rPr>
              <w:t>convening power</w:t>
            </w:r>
            <w:r w:rsidRPr="00292BC1">
              <w:rPr>
                <w:rFonts w:cstheme="minorHAnsi"/>
              </w:rPr>
              <w:t xml:space="preserve"> to attract, retain and support the mobilisation of partners</w:t>
            </w:r>
          </w:p>
        </w:tc>
        <w:tc>
          <w:tcPr>
            <w:tcW w:w="5760" w:type="dxa"/>
          </w:tcPr>
          <w:p w14:paraId="2F61B480"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Board members work to effectively engage their constituencies, supported by the Secretariat</w:t>
            </w:r>
          </w:p>
          <w:p w14:paraId="52564CA5"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‘Partner-centric model’ has the buy-in of the Partnership and is well-resourced and well-supported by the Secretariat</w:t>
            </w:r>
          </w:p>
        </w:tc>
      </w:tr>
      <w:tr w:rsidR="0088497E" w:rsidRPr="00292BC1" w14:paraId="28179820" w14:textId="77777777" w:rsidTr="0080630E">
        <w:tc>
          <w:tcPr>
            <w:tcW w:w="3256" w:type="dxa"/>
          </w:tcPr>
          <w:p w14:paraId="1B3BE06F" w14:textId="77777777" w:rsidR="0088497E" w:rsidRPr="00292BC1" w:rsidRDefault="0088497E" w:rsidP="00777E14">
            <w:pPr>
              <w:rPr>
                <w:rFonts w:cstheme="minorHAnsi"/>
              </w:rPr>
            </w:pPr>
            <w:r w:rsidRPr="00292BC1">
              <w:rPr>
                <w:rFonts w:cstheme="minorHAnsi"/>
              </w:rPr>
              <w:t xml:space="preserve">3. PMNCH </w:t>
            </w:r>
            <w:r w:rsidR="00CC6A52" w:rsidRPr="00292BC1">
              <w:rPr>
                <w:rFonts w:cstheme="minorHAnsi"/>
              </w:rPr>
              <w:t xml:space="preserve">does not have </w:t>
            </w:r>
            <w:r w:rsidRPr="00292BC1">
              <w:rPr>
                <w:rFonts w:cstheme="minorHAnsi"/>
              </w:rPr>
              <w:t xml:space="preserve">a model of </w:t>
            </w:r>
            <w:r w:rsidRPr="001F44F2">
              <w:rPr>
                <w:rFonts w:cstheme="minorHAnsi"/>
                <w:b/>
                <w:iCs/>
              </w:rPr>
              <w:t>country engagement</w:t>
            </w:r>
            <w:r w:rsidRPr="00292BC1">
              <w:rPr>
                <w:rFonts w:cstheme="minorHAnsi"/>
              </w:rPr>
              <w:t xml:space="preserve"> (working through partners + country grants) that is effective and sustainable</w:t>
            </w:r>
          </w:p>
        </w:tc>
        <w:tc>
          <w:tcPr>
            <w:tcW w:w="5760" w:type="dxa"/>
          </w:tcPr>
          <w:p w14:paraId="631DCB87"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PMMCH implements the recommendations of the Country Engagement Working Group</w:t>
            </w:r>
          </w:p>
          <w:p w14:paraId="0915E5A5"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Results reporting reaches to country level (distinguishing between PMNCH attribution and contribution)</w:t>
            </w:r>
          </w:p>
        </w:tc>
      </w:tr>
      <w:tr w:rsidR="0088497E" w:rsidRPr="00292BC1" w14:paraId="3A73060F" w14:textId="77777777" w:rsidTr="0080630E">
        <w:tc>
          <w:tcPr>
            <w:tcW w:w="3256" w:type="dxa"/>
          </w:tcPr>
          <w:p w14:paraId="2C33CB68" w14:textId="77777777" w:rsidR="0088497E" w:rsidRPr="00292BC1" w:rsidRDefault="0088497E" w:rsidP="00777E14">
            <w:pPr>
              <w:rPr>
                <w:rFonts w:cstheme="minorHAnsi"/>
              </w:rPr>
            </w:pPr>
            <w:r w:rsidRPr="00292BC1">
              <w:rPr>
                <w:rFonts w:cstheme="minorHAnsi"/>
              </w:rPr>
              <w:t xml:space="preserve">4. PMNCH has </w:t>
            </w:r>
            <w:r w:rsidR="00CC6A52" w:rsidRPr="00292BC1">
              <w:rPr>
                <w:rFonts w:cstheme="minorHAnsi"/>
              </w:rPr>
              <w:t>in</w:t>
            </w:r>
            <w:r w:rsidRPr="00292BC1">
              <w:rPr>
                <w:rFonts w:cstheme="minorHAnsi"/>
              </w:rPr>
              <w:t xml:space="preserve">adequate </w:t>
            </w:r>
            <w:r w:rsidRPr="001F44F2">
              <w:rPr>
                <w:rFonts w:cstheme="minorHAnsi"/>
                <w:b/>
                <w:iCs/>
              </w:rPr>
              <w:t>financial resources</w:t>
            </w:r>
            <w:r w:rsidRPr="00292BC1">
              <w:rPr>
                <w:rFonts w:cstheme="minorHAnsi"/>
              </w:rPr>
              <w:t xml:space="preserve"> to execute activities</w:t>
            </w:r>
          </w:p>
        </w:tc>
        <w:tc>
          <w:tcPr>
            <w:tcW w:w="5760" w:type="dxa"/>
          </w:tcPr>
          <w:p w14:paraId="5A0F2F12"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Executive Director prioritises fundraising (ideally multi-year and unrestricted) for Strategy in short-term</w:t>
            </w:r>
          </w:p>
          <w:p w14:paraId="138D9AA9"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 xml:space="preserve">Board </w:t>
            </w:r>
            <w:r w:rsidR="00177D62" w:rsidRPr="00292BC1">
              <w:rPr>
                <w:rFonts w:cstheme="minorHAnsi"/>
              </w:rPr>
              <w:t xml:space="preserve">and Executive Committee </w:t>
            </w:r>
            <w:r w:rsidRPr="00292BC1">
              <w:rPr>
                <w:rFonts w:cstheme="minorHAnsi"/>
              </w:rPr>
              <w:t xml:space="preserve">supports fundraising goals </w:t>
            </w:r>
          </w:p>
        </w:tc>
      </w:tr>
      <w:tr w:rsidR="0088497E" w:rsidRPr="00292BC1" w14:paraId="75701EFC" w14:textId="77777777" w:rsidTr="0080630E">
        <w:tc>
          <w:tcPr>
            <w:tcW w:w="3256" w:type="dxa"/>
          </w:tcPr>
          <w:p w14:paraId="69BC3DEC" w14:textId="77777777" w:rsidR="0088497E" w:rsidRPr="00292BC1" w:rsidRDefault="0088497E" w:rsidP="00777E14">
            <w:pPr>
              <w:rPr>
                <w:rFonts w:cstheme="minorHAnsi"/>
              </w:rPr>
            </w:pPr>
            <w:r w:rsidRPr="00292BC1">
              <w:rPr>
                <w:rFonts w:cstheme="minorHAnsi"/>
              </w:rPr>
              <w:t>5. PMNCH Board &amp; Secretariat</w:t>
            </w:r>
            <w:r w:rsidR="00CC6A52" w:rsidRPr="00292BC1">
              <w:rPr>
                <w:rFonts w:cstheme="minorHAnsi"/>
              </w:rPr>
              <w:t xml:space="preserve"> fail to</w:t>
            </w:r>
            <w:r w:rsidRPr="00292BC1">
              <w:rPr>
                <w:rFonts w:cstheme="minorHAnsi"/>
              </w:rPr>
              <w:t xml:space="preserve"> </w:t>
            </w:r>
            <w:r w:rsidRPr="001F44F2">
              <w:rPr>
                <w:rFonts w:cstheme="minorHAnsi"/>
                <w:b/>
                <w:iCs/>
              </w:rPr>
              <w:t>prioritise</w:t>
            </w:r>
            <w:r w:rsidRPr="00292BC1">
              <w:rPr>
                <w:rFonts w:cstheme="minorHAnsi"/>
              </w:rPr>
              <w:t xml:space="preserve"> a manageable number of focus areas &amp; deliverables for the Strategy period (focussing on actions critical for the WCAH SDGs, not done by others)</w:t>
            </w:r>
          </w:p>
        </w:tc>
        <w:tc>
          <w:tcPr>
            <w:tcW w:w="5760" w:type="dxa"/>
          </w:tcPr>
          <w:p w14:paraId="75A063B8"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Board &amp; Secretariat maintain discipline in adhering to Strategy priorities</w:t>
            </w:r>
          </w:p>
          <w:p w14:paraId="251E73A5"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Annual work planning process provides an opportunity for annual review &amp; planning</w:t>
            </w:r>
          </w:p>
          <w:p w14:paraId="1C4746B4" w14:textId="77777777" w:rsidR="0088497E" w:rsidRPr="00292BC1" w:rsidRDefault="0088497E" w:rsidP="004D3225">
            <w:pPr>
              <w:pStyle w:val="ListParagraph"/>
              <w:numPr>
                <w:ilvl w:val="0"/>
                <w:numId w:val="5"/>
              </w:numPr>
              <w:ind w:left="200" w:hanging="237"/>
              <w:rPr>
                <w:rFonts w:cstheme="minorHAnsi"/>
              </w:rPr>
            </w:pPr>
            <w:r w:rsidRPr="00292BC1">
              <w:rPr>
                <w:rFonts w:cstheme="minorHAnsi"/>
              </w:rPr>
              <w:t>Funders only allocate funds for activities in the Strategy / workplan</w:t>
            </w:r>
          </w:p>
        </w:tc>
      </w:tr>
      <w:tr w:rsidR="00B117B8" w:rsidRPr="00292BC1" w14:paraId="10FF97E2" w14:textId="77777777" w:rsidTr="007332DD">
        <w:tc>
          <w:tcPr>
            <w:tcW w:w="9016" w:type="dxa"/>
            <w:gridSpan w:val="2"/>
            <w:shd w:val="clear" w:color="auto" w:fill="DEEAF6" w:themeFill="accent5" w:themeFillTint="33"/>
          </w:tcPr>
          <w:p w14:paraId="7768F804" w14:textId="32F6CF03" w:rsidR="00B117B8" w:rsidRPr="00B117B8" w:rsidRDefault="00B117B8" w:rsidP="0080630E">
            <w:pPr>
              <w:ind w:left="-37"/>
              <w:jc w:val="center"/>
              <w:rPr>
                <w:rFonts w:cstheme="minorHAnsi"/>
                <w:b/>
                <w:bCs/>
              </w:rPr>
            </w:pPr>
            <w:r>
              <w:rPr>
                <w:rFonts w:cstheme="minorHAnsi"/>
                <w:b/>
                <w:bCs/>
              </w:rPr>
              <w:t>EXTERNAL FACTORS</w:t>
            </w:r>
          </w:p>
        </w:tc>
      </w:tr>
      <w:tr w:rsidR="00B67FBC" w:rsidRPr="00292BC1" w14:paraId="5BC301BC" w14:textId="77777777" w:rsidTr="0080630E">
        <w:tc>
          <w:tcPr>
            <w:tcW w:w="3256" w:type="dxa"/>
          </w:tcPr>
          <w:p w14:paraId="77C83269" w14:textId="69BA4C1B" w:rsidR="00B67FBC" w:rsidRPr="00292BC1" w:rsidRDefault="00B67FBC" w:rsidP="00777E14">
            <w:pPr>
              <w:rPr>
                <w:rFonts w:cstheme="minorHAnsi"/>
              </w:rPr>
            </w:pPr>
            <w:r>
              <w:rPr>
                <w:rFonts w:cstheme="minorHAnsi"/>
              </w:rPr>
              <w:t>6.</w:t>
            </w:r>
            <w:r w:rsidR="00B117B8">
              <w:rPr>
                <w:rFonts w:cstheme="minorHAnsi"/>
              </w:rPr>
              <w:t xml:space="preserve"> Major and accelerated external shock</w:t>
            </w:r>
            <w:r w:rsidR="0080630E">
              <w:rPr>
                <w:rFonts w:cstheme="minorHAnsi"/>
              </w:rPr>
              <w:t>s</w:t>
            </w:r>
            <w:r w:rsidR="00B117B8">
              <w:rPr>
                <w:rFonts w:cstheme="minorHAnsi"/>
              </w:rPr>
              <w:t xml:space="preserve"> such as </w:t>
            </w:r>
            <w:r w:rsidR="00B117B8">
              <w:rPr>
                <w:rFonts w:cstheme="minorHAnsi"/>
                <w:b/>
                <w:bCs/>
              </w:rPr>
              <w:t>p</w:t>
            </w:r>
            <w:r w:rsidRPr="00B67FBC">
              <w:rPr>
                <w:rFonts w:cstheme="minorHAnsi"/>
                <w:b/>
                <w:bCs/>
              </w:rPr>
              <w:t>andemics</w:t>
            </w:r>
            <w:r w:rsidR="00B117B8">
              <w:rPr>
                <w:rFonts w:cstheme="minorHAnsi"/>
                <w:b/>
                <w:bCs/>
              </w:rPr>
              <w:t xml:space="preserve">, global economic </w:t>
            </w:r>
            <w:r w:rsidR="00B117B8" w:rsidRPr="00B117B8">
              <w:rPr>
                <w:rFonts w:cstheme="minorHAnsi"/>
                <w:b/>
                <w:bCs/>
              </w:rPr>
              <w:t>recessions and climate change</w:t>
            </w:r>
            <w:r w:rsidR="00B117B8">
              <w:rPr>
                <w:rFonts w:cstheme="minorHAnsi"/>
              </w:rPr>
              <w:t xml:space="preserve"> </w:t>
            </w:r>
            <w:r>
              <w:rPr>
                <w:rFonts w:cstheme="minorHAnsi"/>
              </w:rPr>
              <w:t>fundamentally re-describe global health challenges and ways of working, and threaten gains made in WCAH</w:t>
            </w:r>
          </w:p>
        </w:tc>
        <w:tc>
          <w:tcPr>
            <w:tcW w:w="5760" w:type="dxa"/>
          </w:tcPr>
          <w:p w14:paraId="1B2AF312" w14:textId="6FE45C39" w:rsidR="00B67FBC" w:rsidRDefault="00B67FBC" w:rsidP="004D3225">
            <w:pPr>
              <w:pStyle w:val="ListParagraph"/>
              <w:numPr>
                <w:ilvl w:val="0"/>
                <w:numId w:val="5"/>
              </w:numPr>
              <w:ind w:left="200" w:hanging="237"/>
              <w:rPr>
                <w:rFonts w:cstheme="minorHAnsi"/>
              </w:rPr>
            </w:pPr>
            <w:r>
              <w:rPr>
                <w:rFonts w:cstheme="minorHAnsi"/>
              </w:rPr>
              <w:t xml:space="preserve">PMNCH should advocate through the Strategy period for </w:t>
            </w:r>
            <w:r w:rsidR="002160C1">
              <w:rPr>
                <w:rFonts w:cstheme="minorHAnsi"/>
              </w:rPr>
              <w:t>sustained access to WCAH services; mitigation of effects</w:t>
            </w:r>
            <w:r w:rsidR="00B117B8">
              <w:rPr>
                <w:rFonts w:cstheme="minorHAnsi"/>
              </w:rPr>
              <w:t xml:space="preserve"> of major external shocks</w:t>
            </w:r>
            <w:r w:rsidR="002160C1">
              <w:rPr>
                <w:rFonts w:cstheme="minorHAnsi"/>
              </w:rPr>
              <w:t xml:space="preserve"> on WCA</w:t>
            </w:r>
            <w:r w:rsidR="00592E57">
              <w:rPr>
                <w:rFonts w:cstheme="minorHAnsi"/>
              </w:rPr>
              <w:t xml:space="preserve">, </w:t>
            </w:r>
            <w:r w:rsidR="002160C1">
              <w:rPr>
                <w:rFonts w:cstheme="minorHAnsi"/>
              </w:rPr>
              <w:t>and</w:t>
            </w:r>
            <w:r w:rsidR="00592E57">
              <w:rPr>
                <w:rFonts w:cstheme="minorHAnsi"/>
              </w:rPr>
              <w:t>;</w:t>
            </w:r>
            <w:r w:rsidR="002160C1">
              <w:rPr>
                <w:rFonts w:cstheme="minorHAnsi"/>
              </w:rPr>
              <w:t xml:space="preserve"> </w:t>
            </w:r>
            <w:r>
              <w:rPr>
                <w:rFonts w:cstheme="minorHAnsi"/>
              </w:rPr>
              <w:t>greater pandemic</w:t>
            </w:r>
            <w:r w:rsidR="00B117B8">
              <w:rPr>
                <w:rFonts w:cstheme="minorHAnsi"/>
              </w:rPr>
              <w:t xml:space="preserve"> / disaster</w:t>
            </w:r>
            <w:r>
              <w:rPr>
                <w:rFonts w:cstheme="minorHAnsi"/>
              </w:rPr>
              <w:t xml:space="preserve"> preparedness, including investments in health systems and in health care professionals</w:t>
            </w:r>
          </w:p>
          <w:p w14:paraId="5642CD18" w14:textId="366B1EC0" w:rsidR="00B67FBC" w:rsidRPr="00292BC1" w:rsidRDefault="00B67FBC" w:rsidP="004D3225">
            <w:pPr>
              <w:pStyle w:val="ListParagraph"/>
              <w:numPr>
                <w:ilvl w:val="0"/>
                <w:numId w:val="5"/>
              </w:numPr>
              <w:ind w:left="200" w:hanging="237"/>
              <w:rPr>
                <w:rFonts w:cstheme="minorHAnsi"/>
              </w:rPr>
            </w:pPr>
            <w:r>
              <w:rPr>
                <w:rFonts w:cstheme="minorHAnsi"/>
              </w:rPr>
              <w:t xml:space="preserve">PMNCH and Secretariat must have the agility to adjust workplans / activities / delivery with speed and urgency  </w:t>
            </w:r>
          </w:p>
        </w:tc>
      </w:tr>
      <w:tr w:rsidR="00B117B8" w:rsidRPr="00292BC1" w14:paraId="3E4BEF8E" w14:textId="77777777" w:rsidTr="0080630E">
        <w:tc>
          <w:tcPr>
            <w:tcW w:w="3256" w:type="dxa"/>
          </w:tcPr>
          <w:p w14:paraId="7191EF8D" w14:textId="6609748B" w:rsidR="00B117B8" w:rsidRDefault="00B117B8" w:rsidP="00777E14">
            <w:pPr>
              <w:rPr>
                <w:rFonts w:cstheme="minorHAnsi"/>
              </w:rPr>
            </w:pPr>
            <w:r>
              <w:rPr>
                <w:rFonts w:cstheme="minorHAnsi"/>
              </w:rPr>
              <w:t xml:space="preserve">7. </w:t>
            </w:r>
            <w:r w:rsidRPr="00B117B8">
              <w:rPr>
                <w:rFonts w:cstheme="minorHAnsi"/>
                <w:b/>
                <w:bCs/>
              </w:rPr>
              <w:t>Reduced multilateralism and new norms of reduced international cooperation</w:t>
            </w:r>
            <w:r>
              <w:rPr>
                <w:rFonts w:cstheme="minorHAnsi"/>
              </w:rPr>
              <w:t xml:space="preserve"> weaken global health institutions and an effective response to WCAH</w:t>
            </w:r>
          </w:p>
        </w:tc>
        <w:tc>
          <w:tcPr>
            <w:tcW w:w="5760" w:type="dxa"/>
          </w:tcPr>
          <w:p w14:paraId="2F743155" w14:textId="412180C3" w:rsidR="00B117B8" w:rsidRDefault="00B117B8" w:rsidP="004D3225">
            <w:pPr>
              <w:pStyle w:val="ListParagraph"/>
              <w:numPr>
                <w:ilvl w:val="0"/>
                <w:numId w:val="5"/>
              </w:numPr>
              <w:ind w:left="200" w:hanging="237"/>
              <w:rPr>
                <w:rFonts w:cstheme="minorHAnsi"/>
              </w:rPr>
            </w:pPr>
            <w:r>
              <w:rPr>
                <w:rFonts w:cstheme="minorHAnsi"/>
              </w:rPr>
              <w:t>PMNCH should advocate for the imp</w:t>
            </w:r>
            <w:r w:rsidR="0080630E">
              <w:rPr>
                <w:rFonts w:cstheme="minorHAnsi"/>
              </w:rPr>
              <w:t>or</w:t>
            </w:r>
            <w:r>
              <w:rPr>
                <w:rFonts w:cstheme="minorHAnsi"/>
              </w:rPr>
              <w:t>tan</w:t>
            </w:r>
            <w:r w:rsidR="0080630E">
              <w:rPr>
                <w:rFonts w:cstheme="minorHAnsi"/>
              </w:rPr>
              <w:t>c</w:t>
            </w:r>
            <w:r>
              <w:rPr>
                <w:rFonts w:cstheme="minorHAnsi"/>
              </w:rPr>
              <w:t>e of multilateral</w:t>
            </w:r>
            <w:r w:rsidR="0080630E">
              <w:rPr>
                <w:rFonts w:cstheme="minorHAnsi"/>
              </w:rPr>
              <w:t>ism and a joined-up international response to challenges in WCAH</w:t>
            </w:r>
          </w:p>
          <w:p w14:paraId="069FDF73" w14:textId="2B06A52A" w:rsidR="0080630E" w:rsidRDefault="0080630E" w:rsidP="004D3225">
            <w:pPr>
              <w:pStyle w:val="ListParagraph"/>
              <w:numPr>
                <w:ilvl w:val="0"/>
                <w:numId w:val="5"/>
              </w:numPr>
              <w:ind w:left="200" w:hanging="237"/>
              <w:rPr>
                <w:rFonts w:cstheme="minorHAnsi"/>
              </w:rPr>
            </w:pPr>
            <w:r>
              <w:rPr>
                <w:rFonts w:cstheme="minorHAnsi"/>
              </w:rPr>
              <w:t xml:space="preserve">work with and through UN agencies, government partners and others on the Board (and within the broader membership) to advocate for and support a joined-up international system </w:t>
            </w:r>
          </w:p>
        </w:tc>
      </w:tr>
    </w:tbl>
    <w:p w14:paraId="15FB42CD" w14:textId="77777777" w:rsidR="00413831" w:rsidRDefault="00413831" w:rsidP="00556EC4">
      <w:pPr>
        <w:rPr>
          <w:rFonts w:cstheme="minorHAnsi"/>
          <w:b/>
          <w:bCs/>
          <w:color w:val="2F5496" w:themeColor="accent1" w:themeShade="BF"/>
        </w:rPr>
      </w:pPr>
      <w:bookmarkStart w:id="5" w:name="_Hlk39836661"/>
    </w:p>
    <w:p w14:paraId="6F4F451D" w14:textId="77777777" w:rsidR="00413831" w:rsidRDefault="00413831">
      <w:pPr>
        <w:rPr>
          <w:rFonts w:cstheme="minorHAnsi"/>
          <w:b/>
          <w:bCs/>
          <w:color w:val="2F5496" w:themeColor="accent1" w:themeShade="BF"/>
        </w:rPr>
      </w:pPr>
      <w:r>
        <w:rPr>
          <w:rFonts w:cstheme="minorHAnsi"/>
          <w:b/>
          <w:bCs/>
          <w:color w:val="2F5496" w:themeColor="accent1" w:themeShade="BF"/>
        </w:rPr>
        <w:br w:type="page"/>
      </w:r>
    </w:p>
    <w:p w14:paraId="0B4A43DE" w14:textId="633E7D06" w:rsidR="00556EC4" w:rsidRPr="00292BC1" w:rsidRDefault="00556EC4" w:rsidP="00556EC4">
      <w:pPr>
        <w:rPr>
          <w:rFonts w:cstheme="minorHAnsi"/>
          <w:b/>
          <w:bCs/>
          <w:color w:val="2F5496" w:themeColor="accent1" w:themeShade="BF"/>
        </w:rPr>
      </w:pPr>
      <w:r w:rsidRPr="00292BC1">
        <w:rPr>
          <w:rFonts w:cstheme="minorHAnsi"/>
          <w:b/>
          <w:bCs/>
          <w:color w:val="2F5496" w:themeColor="accent1" w:themeShade="BF"/>
        </w:rPr>
        <w:t xml:space="preserve">ANNEX </w:t>
      </w:r>
      <w:r>
        <w:rPr>
          <w:rFonts w:cstheme="minorHAnsi"/>
          <w:b/>
          <w:bCs/>
          <w:color w:val="2F5496" w:themeColor="accent1" w:themeShade="BF"/>
        </w:rPr>
        <w:t>4</w:t>
      </w:r>
      <w:r w:rsidRPr="00292BC1">
        <w:rPr>
          <w:rFonts w:cstheme="minorHAnsi"/>
          <w:b/>
          <w:bCs/>
          <w:color w:val="2F5496" w:themeColor="accent1" w:themeShade="BF"/>
        </w:rPr>
        <w:t xml:space="preserve">. </w:t>
      </w:r>
      <w:r>
        <w:rPr>
          <w:rFonts w:cstheme="minorHAnsi"/>
          <w:b/>
          <w:bCs/>
          <w:color w:val="2F5496" w:themeColor="accent1" w:themeShade="BF"/>
        </w:rPr>
        <w:t>S</w:t>
      </w:r>
      <w:r w:rsidRPr="00390271">
        <w:rPr>
          <w:rFonts w:cstheme="minorHAnsi"/>
          <w:b/>
          <w:bCs/>
          <w:color w:val="2F5496" w:themeColor="accent1" w:themeShade="BF"/>
        </w:rPr>
        <w:t xml:space="preserve">DG </w:t>
      </w:r>
      <w:r w:rsidR="00390271" w:rsidRPr="00390271">
        <w:rPr>
          <w:rFonts w:cstheme="minorHAnsi"/>
          <w:b/>
          <w:bCs/>
          <w:color w:val="2F5496" w:themeColor="accent1" w:themeShade="BF"/>
        </w:rPr>
        <w:t>t</w:t>
      </w:r>
      <w:r w:rsidRPr="00390271">
        <w:rPr>
          <w:rFonts w:cstheme="minorHAnsi"/>
          <w:b/>
          <w:bCs/>
          <w:color w:val="2F5496" w:themeColor="accent1" w:themeShade="BF"/>
        </w:rPr>
        <w:t xml:space="preserve">argets &amp; </w:t>
      </w:r>
      <w:r w:rsidR="00390271" w:rsidRPr="00390271">
        <w:rPr>
          <w:rFonts w:cstheme="minorHAnsi"/>
          <w:b/>
          <w:bCs/>
          <w:color w:val="2F5496" w:themeColor="accent1" w:themeShade="BF"/>
        </w:rPr>
        <w:t>i</w:t>
      </w:r>
      <w:r w:rsidRPr="00390271">
        <w:rPr>
          <w:rFonts w:cstheme="minorHAnsi"/>
          <w:b/>
          <w:bCs/>
          <w:color w:val="2F5496" w:themeColor="accent1" w:themeShade="BF"/>
        </w:rPr>
        <w:t>ndicators</w:t>
      </w:r>
      <w:r w:rsidR="008F2E5F">
        <w:rPr>
          <w:rFonts w:cstheme="minorHAnsi"/>
          <w:b/>
          <w:bCs/>
          <w:color w:val="2F5496" w:themeColor="accent1" w:themeShade="BF"/>
        </w:rPr>
        <w:t xml:space="preserve"> (PMNCH Impact measures)</w:t>
      </w:r>
    </w:p>
    <w:p w14:paraId="3B1A46A8" w14:textId="493017E9" w:rsidR="00556EC4" w:rsidRDefault="00556EC4" w:rsidP="00556EC4">
      <w:pPr>
        <w:jc w:val="both"/>
        <w:rPr>
          <w:rFonts w:cstheme="minorHAnsi"/>
          <w:b/>
          <w:bCs/>
        </w:rPr>
      </w:pPr>
    </w:p>
    <w:p w14:paraId="551219A3" w14:textId="30496479" w:rsidR="00AC29FF" w:rsidRPr="00AC29FF" w:rsidRDefault="00AC29FF" w:rsidP="00556EC4">
      <w:pPr>
        <w:jc w:val="both"/>
        <w:rPr>
          <w:rFonts w:cstheme="minorHAnsi"/>
        </w:rPr>
      </w:pPr>
      <w:r w:rsidRPr="00AC29FF">
        <w:rPr>
          <w:rFonts w:cstheme="minorHAnsi"/>
        </w:rPr>
        <w:t>Targets and indic</w:t>
      </w:r>
      <w:r>
        <w:rPr>
          <w:rFonts w:cstheme="minorHAnsi"/>
        </w:rPr>
        <w:t>a</w:t>
      </w:r>
      <w:r w:rsidRPr="00AC29FF">
        <w:rPr>
          <w:rFonts w:cstheme="minorHAnsi"/>
        </w:rPr>
        <w:t xml:space="preserve">tors most linked to PMNCH’s objectives </w:t>
      </w:r>
      <w:r>
        <w:rPr>
          <w:rFonts w:cstheme="minorHAnsi"/>
        </w:rPr>
        <w:t>for</w:t>
      </w:r>
      <w:r w:rsidRPr="00AC29FF">
        <w:rPr>
          <w:rFonts w:cstheme="minorHAnsi"/>
        </w:rPr>
        <w:t xml:space="preserve"> </w:t>
      </w:r>
      <w:r>
        <w:rPr>
          <w:rFonts w:cstheme="minorHAnsi"/>
        </w:rPr>
        <w:t>th</w:t>
      </w:r>
      <w:r w:rsidRPr="00AC29FF">
        <w:rPr>
          <w:rFonts w:cstheme="minorHAnsi"/>
        </w:rPr>
        <w:t>e Strat</w:t>
      </w:r>
      <w:r>
        <w:rPr>
          <w:rFonts w:cstheme="minorHAnsi"/>
        </w:rPr>
        <w:t>egy</w:t>
      </w:r>
      <w:r w:rsidRPr="00AC29FF">
        <w:rPr>
          <w:rFonts w:cstheme="minorHAnsi"/>
        </w:rPr>
        <w:t xml:space="preserve"> period are shaded.</w:t>
      </w:r>
      <w:r>
        <w:rPr>
          <w:rFonts w:cstheme="minorHAnsi"/>
        </w:rPr>
        <w:t xml:space="preserve"> These will be given greatest prioritisation in PMNCH’s work and in how we measure our contribution to women’s, children’s and adolescents’ health.</w:t>
      </w:r>
    </w:p>
    <w:p w14:paraId="525D8DC3" w14:textId="77777777" w:rsidR="00AC29FF" w:rsidRDefault="00AC29FF" w:rsidP="00556EC4">
      <w:pPr>
        <w:jc w:val="both"/>
        <w:rPr>
          <w:rFonts w:cstheme="minorHAnsi"/>
          <w:b/>
          <w:bCs/>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06"/>
        <w:gridCol w:w="4910"/>
      </w:tblGrid>
      <w:tr w:rsidR="00556EC4" w:rsidRPr="00AD34BA" w14:paraId="596F2D33" w14:textId="77777777" w:rsidTr="00B62397">
        <w:tc>
          <w:tcPr>
            <w:tcW w:w="4106" w:type="dxa"/>
            <w:shd w:val="clear" w:color="auto" w:fill="8EAADB" w:themeFill="accent1" w:themeFillTint="99"/>
          </w:tcPr>
          <w:p w14:paraId="4E326050" w14:textId="3A29C992" w:rsidR="00556EC4" w:rsidRPr="00AD34BA" w:rsidRDefault="00556EC4" w:rsidP="00266153">
            <w:pPr>
              <w:jc w:val="center"/>
              <w:rPr>
                <w:rFonts w:cstheme="minorHAnsi"/>
                <w:b/>
                <w:bCs/>
                <w:sz w:val="20"/>
                <w:szCs w:val="20"/>
              </w:rPr>
            </w:pPr>
            <w:r w:rsidRPr="00AD34BA">
              <w:rPr>
                <w:rFonts w:cstheme="minorHAnsi"/>
                <w:b/>
                <w:bCs/>
                <w:sz w:val="20"/>
                <w:szCs w:val="20"/>
              </w:rPr>
              <w:t>Targets</w:t>
            </w:r>
          </w:p>
        </w:tc>
        <w:tc>
          <w:tcPr>
            <w:tcW w:w="4910" w:type="dxa"/>
            <w:shd w:val="clear" w:color="auto" w:fill="8EAADB" w:themeFill="accent1" w:themeFillTint="99"/>
          </w:tcPr>
          <w:p w14:paraId="7DA5B71F" w14:textId="6EE275D0" w:rsidR="00556EC4" w:rsidRPr="00AD34BA" w:rsidRDefault="00556EC4" w:rsidP="00266153">
            <w:pPr>
              <w:jc w:val="center"/>
              <w:rPr>
                <w:rFonts w:cstheme="minorHAnsi"/>
                <w:b/>
                <w:bCs/>
                <w:sz w:val="20"/>
                <w:szCs w:val="20"/>
              </w:rPr>
            </w:pPr>
            <w:r w:rsidRPr="00AD34BA">
              <w:rPr>
                <w:rFonts w:cstheme="minorHAnsi"/>
                <w:b/>
                <w:bCs/>
                <w:sz w:val="20"/>
                <w:szCs w:val="20"/>
              </w:rPr>
              <w:t>Indicators</w:t>
            </w:r>
          </w:p>
        </w:tc>
      </w:tr>
      <w:tr w:rsidR="008F2E5F" w:rsidRPr="00AD34BA" w14:paraId="6E1DC97B" w14:textId="77777777" w:rsidTr="008F2E5F">
        <w:tc>
          <w:tcPr>
            <w:tcW w:w="9016" w:type="dxa"/>
            <w:gridSpan w:val="2"/>
            <w:shd w:val="clear" w:color="auto" w:fill="B4C6E7" w:themeFill="accent1" w:themeFillTint="66"/>
          </w:tcPr>
          <w:p w14:paraId="37AFCB7A" w14:textId="77855A27" w:rsidR="008F2E5F" w:rsidRPr="00AD34BA" w:rsidRDefault="008F2E5F" w:rsidP="008F2E5F">
            <w:pPr>
              <w:rPr>
                <w:rFonts w:cstheme="minorHAnsi"/>
                <w:b/>
                <w:bCs/>
                <w:sz w:val="20"/>
                <w:szCs w:val="20"/>
              </w:rPr>
            </w:pPr>
            <w:r w:rsidRPr="00AD34BA">
              <w:rPr>
                <w:rFonts w:cstheme="minorHAnsi"/>
                <w:b/>
                <w:bCs/>
                <w:sz w:val="20"/>
                <w:szCs w:val="20"/>
              </w:rPr>
              <w:t>SDG 3</w:t>
            </w:r>
            <w:r w:rsidR="00AD34BA" w:rsidRPr="00AD34BA">
              <w:rPr>
                <w:rFonts w:cstheme="minorHAnsi"/>
                <w:b/>
                <w:bCs/>
                <w:sz w:val="20"/>
                <w:szCs w:val="20"/>
              </w:rPr>
              <w:t>:</w:t>
            </w:r>
            <w:r w:rsidRPr="00AD34BA">
              <w:rPr>
                <w:rFonts w:cstheme="minorHAnsi"/>
                <w:b/>
                <w:bCs/>
                <w:sz w:val="20"/>
                <w:szCs w:val="20"/>
              </w:rPr>
              <w:t xml:space="preserve"> ‘Ensure healthy lives and promote well-being for all at all ages’</w:t>
            </w:r>
          </w:p>
        </w:tc>
      </w:tr>
      <w:tr w:rsidR="00556EC4" w:rsidRPr="00AD34BA" w14:paraId="369905C8" w14:textId="77777777" w:rsidTr="00B62397">
        <w:tc>
          <w:tcPr>
            <w:tcW w:w="4106" w:type="dxa"/>
            <w:shd w:val="clear" w:color="auto" w:fill="DEEAF6" w:themeFill="accent5" w:themeFillTint="33"/>
          </w:tcPr>
          <w:p w14:paraId="1925F0FF" w14:textId="7437D4BC" w:rsidR="00556EC4" w:rsidRPr="00AD34BA" w:rsidRDefault="00556EC4" w:rsidP="00266153">
            <w:pPr>
              <w:rPr>
                <w:rFonts w:cstheme="minorHAnsi"/>
                <w:sz w:val="20"/>
                <w:szCs w:val="20"/>
              </w:rPr>
            </w:pPr>
            <w:r w:rsidRPr="00AD34BA">
              <w:rPr>
                <w:rFonts w:cstheme="minorHAnsi"/>
                <w:sz w:val="20"/>
                <w:szCs w:val="20"/>
              </w:rPr>
              <w:t>3.1 By 2030, reduce the global maternal mortality ratio to less than 70 per 100,000 live births</w:t>
            </w:r>
          </w:p>
        </w:tc>
        <w:tc>
          <w:tcPr>
            <w:tcW w:w="4910" w:type="dxa"/>
            <w:shd w:val="clear" w:color="auto" w:fill="DEEAF6" w:themeFill="accent5" w:themeFillTint="33"/>
          </w:tcPr>
          <w:p w14:paraId="26E30DC7" w14:textId="77777777" w:rsidR="00556EC4" w:rsidRPr="00AD34BA" w:rsidRDefault="00556EC4" w:rsidP="00390271">
            <w:pPr>
              <w:rPr>
                <w:rFonts w:cstheme="minorHAnsi"/>
                <w:sz w:val="20"/>
                <w:szCs w:val="20"/>
              </w:rPr>
            </w:pPr>
            <w:r w:rsidRPr="00AD34BA">
              <w:rPr>
                <w:rFonts w:cstheme="minorHAnsi"/>
                <w:sz w:val="20"/>
                <w:szCs w:val="20"/>
              </w:rPr>
              <w:t xml:space="preserve">3.1.1 Maternal mortality ratio </w:t>
            </w:r>
          </w:p>
          <w:p w14:paraId="5BBE8249" w14:textId="6F945E89" w:rsidR="00556EC4" w:rsidRPr="00AD34BA" w:rsidRDefault="00556EC4" w:rsidP="00390271">
            <w:pPr>
              <w:rPr>
                <w:rFonts w:cstheme="minorHAnsi"/>
                <w:sz w:val="20"/>
                <w:szCs w:val="20"/>
              </w:rPr>
            </w:pPr>
            <w:r w:rsidRPr="00AD34BA">
              <w:rPr>
                <w:rFonts w:cstheme="minorHAnsi"/>
                <w:sz w:val="20"/>
                <w:szCs w:val="20"/>
              </w:rPr>
              <w:t>3.1.2 Proportion of births attended by skilled health personnel</w:t>
            </w:r>
          </w:p>
        </w:tc>
      </w:tr>
      <w:tr w:rsidR="00556EC4" w:rsidRPr="00AD34BA" w14:paraId="7A578565" w14:textId="77777777" w:rsidTr="00B62397">
        <w:tc>
          <w:tcPr>
            <w:tcW w:w="4106" w:type="dxa"/>
            <w:shd w:val="clear" w:color="auto" w:fill="DEEAF6" w:themeFill="accent5" w:themeFillTint="33"/>
          </w:tcPr>
          <w:p w14:paraId="277FACA3" w14:textId="0715F92D" w:rsidR="00556EC4" w:rsidRPr="00AD34BA" w:rsidRDefault="00556EC4" w:rsidP="00266153">
            <w:pPr>
              <w:rPr>
                <w:rFonts w:cstheme="minorHAnsi"/>
                <w:sz w:val="20"/>
                <w:szCs w:val="20"/>
              </w:rPr>
            </w:pPr>
            <w:r w:rsidRPr="00AD34BA">
              <w:rPr>
                <w:rFonts w:cstheme="minorHAnsi"/>
                <w:sz w:val="20"/>
                <w:szCs w:val="20"/>
              </w:rPr>
              <w:t xml:space="preserve">3.2 By 2030, end preventable deaths of </w:t>
            </w:r>
            <w:proofErr w:type="spellStart"/>
            <w:r w:rsidRPr="00AD34BA">
              <w:rPr>
                <w:rFonts w:cstheme="minorHAnsi"/>
                <w:sz w:val="20"/>
                <w:szCs w:val="20"/>
              </w:rPr>
              <w:t>newborns</w:t>
            </w:r>
            <w:proofErr w:type="spellEnd"/>
            <w:r w:rsidRPr="00AD34BA">
              <w:rPr>
                <w:rFonts w:cstheme="minorHAnsi"/>
                <w:sz w:val="20"/>
                <w:szCs w:val="20"/>
              </w:rPr>
              <w:t xml:space="preserve"> and children under 5 years of age, with all countries aiming to reduce neonatal mortality to at least as low as 12 per 1,000 live births and under-5 mortality to at least as low as 25 per 1,000 live births</w:t>
            </w:r>
          </w:p>
        </w:tc>
        <w:tc>
          <w:tcPr>
            <w:tcW w:w="4910" w:type="dxa"/>
            <w:shd w:val="clear" w:color="auto" w:fill="DEEAF6" w:themeFill="accent5" w:themeFillTint="33"/>
          </w:tcPr>
          <w:p w14:paraId="7C4BEA77" w14:textId="77777777" w:rsidR="00556EC4" w:rsidRPr="00AD34BA" w:rsidRDefault="00556EC4" w:rsidP="00390271">
            <w:pPr>
              <w:rPr>
                <w:rFonts w:cstheme="minorHAnsi"/>
                <w:sz w:val="20"/>
                <w:szCs w:val="20"/>
              </w:rPr>
            </w:pPr>
            <w:r w:rsidRPr="00AD34BA">
              <w:rPr>
                <w:rFonts w:cstheme="minorHAnsi"/>
                <w:sz w:val="20"/>
                <w:szCs w:val="20"/>
              </w:rPr>
              <w:t xml:space="preserve">3.2.1 Under-5 mortality rate </w:t>
            </w:r>
          </w:p>
          <w:p w14:paraId="1B71DDD2" w14:textId="076ED0EB" w:rsidR="00556EC4" w:rsidRPr="00AD34BA" w:rsidRDefault="00556EC4" w:rsidP="00390271">
            <w:pPr>
              <w:rPr>
                <w:rFonts w:cstheme="minorHAnsi"/>
                <w:sz w:val="20"/>
                <w:szCs w:val="20"/>
              </w:rPr>
            </w:pPr>
            <w:r w:rsidRPr="00AD34BA">
              <w:rPr>
                <w:rFonts w:cstheme="minorHAnsi"/>
                <w:sz w:val="20"/>
                <w:szCs w:val="20"/>
              </w:rPr>
              <w:t>3.2.2 Neonatal mortality rate</w:t>
            </w:r>
          </w:p>
        </w:tc>
      </w:tr>
      <w:tr w:rsidR="00556EC4" w:rsidRPr="00AD34BA" w14:paraId="4BB042A1" w14:textId="77777777" w:rsidTr="00B62397">
        <w:tc>
          <w:tcPr>
            <w:tcW w:w="4106" w:type="dxa"/>
            <w:shd w:val="clear" w:color="auto" w:fill="DEEAF6" w:themeFill="accent5" w:themeFillTint="33"/>
          </w:tcPr>
          <w:p w14:paraId="0AA5782B" w14:textId="67AE58C3" w:rsidR="00556EC4" w:rsidRPr="00AD34BA" w:rsidRDefault="00556EC4" w:rsidP="00266153">
            <w:pPr>
              <w:rPr>
                <w:rFonts w:cstheme="minorHAnsi"/>
                <w:sz w:val="20"/>
                <w:szCs w:val="20"/>
              </w:rPr>
            </w:pPr>
            <w:r w:rsidRPr="00AD34BA">
              <w:rPr>
                <w:rFonts w:cstheme="minorHAnsi"/>
                <w:sz w:val="20"/>
                <w:szCs w:val="20"/>
              </w:rPr>
              <w:t>3.3 By 2030, end the epidemics of AIDS, tuberculosis, malaria and neglected tropical diseases and combat hepatitis, water-borne diseases and other communicable diseases</w:t>
            </w:r>
          </w:p>
        </w:tc>
        <w:tc>
          <w:tcPr>
            <w:tcW w:w="4910" w:type="dxa"/>
            <w:shd w:val="clear" w:color="auto" w:fill="DEEAF6" w:themeFill="accent5" w:themeFillTint="33"/>
          </w:tcPr>
          <w:p w14:paraId="5C03404E" w14:textId="77777777" w:rsidR="00556EC4" w:rsidRPr="00AD34BA" w:rsidRDefault="00556EC4" w:rsidP="00390271">
            <w:pPr>
              <w:rPr>
                <w:rFonts w:cstheme="minorHAnsi"/>
                <w:sz w:val="20"/>
                <w:szCs w:val="20"/>
              </w:rPr>
            </w:pPr>
            <w:r w:rsidRPr="00AD34BA">
              <w:rPr>
                <w:rFonts w:cstheme="minorHAnsi"/>
                <w:sz w:val="20"/>
                <w:szCs w:val="20"/>
              </w:rPr>
              <w:t xml:space="preserve">3.3.1 Number of new HIV infections per 1,000 uninfected population, by sex, age and key populations </w:t>
            </w:r>
          </w:p>
          <w:p w14:paraId="03C6E23B" w14:textId="77777777" w:rsidR="00556EC4" w:rsidRPr="00AD34BA" w:rsidRDefault="00556EC4" w:rsidP="00390271">
            <w:pPr>
              <w:rPr>
                <w:rFonts w:cstheme="minorHAnsi"/>
                <w:sz w:val="20"/>
                <w:szCs w:val="20"/>
              </w:rPr>
            </w:pPr>
            <w:r w:rsidRPr="00AD34BA">
              <w:rPr>
                <w:rFonts w:cstheme="minorHAnsi"/>
                <w:sz w:val="20"/>
                <w:szCs w:val="20"/>
              </w:rPr>
              <w:t xml:space="preserve">3.3.2 Tuberculosis incidence per 100,000 population </w:t>
            </w:r>
          </w:p>
          <w:p w14:paraId="7FE1A881" w14:textId="77777777" w:rsidR="00556EC4" w:rsidRPr="00AD34BA" w:rsidRDefault="00556EC4" w:rsidP="00390271">
            <w:pPr>
              <w:rPr>
                <w:rFonts w:cstheme="minorHAnsi"/>
                <w:sz w:val="20"/>
                <w:szCs w:val="20"/>
              </w:rPr>
            </w:pPr>
            <w:r w:rsidRPr="00AD34BA">
              <w:rPr>
                <w:rFonts w:cstheme="minorHAnsi"/>
                <w:sz w:val="20"/>
                <w:szCs w:val="20"/>
              </w:rPr>
              <w:t xml:space="preserve">3.3.3 Malaria incidence per 1,000 population </w:t>
            </w:r>
          </w:p>
          <w:p w14:paraId="0F0A4A1D" w14:textId="77777777" w:rsidR="00556EC4" w:rsidRPr="00AD34BA" w:rsidRDefault="00556EC4" w:rsidP="00390271">
            <w:pPr>
              <w:rPr>
                <w:rFonts w:cstheme="minorHAnsi"/>
                <w:sz w:val="20"/>
                <w:szCs w:val="20"/>
              </w:rPr>
            </w:pPr>
            <w:r w:rsidRPr="00AD34BA">
              <w:rPr>
                <w:rFonts w:cstheme="minorHAnsi"/>
                <w:sz w:val="20"/>
                <w:szCs w:val="20"/>
              </w:rPr>
              <w:t xml:space="preserve">3.3.4 Hepatitis B incidence per 100,000 population </w:t>
            </w:r>
          </w:p>
          <w:p w14:paraId="56D53071" w14:textId="18C9E7B8" w:rsidR="00556EC4" w:rsidRPr="00AD34BA" w:rsidRDefault="00556EC4" w:rsidP="00390271">
            <w:pPr>
              <w:rPr>
                <w:rFonts w:cstheme="minorHAnsi"/>
                <w:sz w:val="20"/>
                <w:szCs w:val="20"/>
              </w:rPr>
            </w:pPr>
            <w:r w:rsidRPr="00AD34BA">
              <w:rPr>
                <w:rFonts w:cstheme="minorHAnsi"/>
                <w:sz w:val="20"/>
                <w:szCs w:val="20"/>
              </w:rPr>
              <w:t>3.3.5 Number of people requiring interventions against neglected tropical diseases</w:t>
            </w:r>
          </w:p>
        </w:tc>
      </w:tr>
      <w:tr w:rsidR="00556EC4" w:rsidRPr="00AD34BA" w14:paraId="1E43DACF" w14:textId="77777777" w:rsidTr="00B62397">
        <w:tc>
          <w:tcPr>
            <w:tcW w:w="4106" w:type="dxa"/>
          </w:tcPr>
          <w:p w14:paraId="43F903B0" w14:textId="469E85CA" w:rsidR="00556EC4" w:rsidRPr="00AD34BA" w:rsidRDefault="00556EC4" w:rsidP="00266153">
            <w:pPr>
              <w:rPr>
                <w:rFonts w:cstheme="minorHAnsi"/>
                <w:sz w:val="20"/>
                <w:szCs w:val="20"/>
              </w:rPr>
            </w:pPr>
            <w:r w:rsidRPr="00AD34BA">
              <w:rPr>
                <w:rFonts w:cstheme="minorHAnsi"/>
                <w:sz w:val="20"/>
                <w:szCs w:val="20"/>
              </w:rPr>
              <w:t>3.4 By 2030, reduce by one third premature mortality from non-communicable diseases through prevention and treatment and promote mental health and well-being</w:t>
            </w:r>
          </w:p>
        </w:tc>
        <w:tc>
          <w:tcPr>
            <w:tcW w:w="4910" w:type="dxa"/>
          </w:tcPr>
          <w:p w14:paraId="24D42982" w14:textId="77777777" w:rsidR="00556EC4" w:rsidRPr="00AD34BA" w:rsidRDefault="00556EC4" w:rsidP="00390271">
            <w:pPr>
              <w:rPr>
                <w:rFonts w:cstheme="minorHAnsi"/>
                <w:sz w:val="20"/>
                <w:szCs w:val="20"/>
              </w:rPr>
            </w:pPr>
            <w:r w:rsidRPr="00AD34BA">
              <w:rPr>
                <w:rFonts w:cstheme="minorHAnsi"/>
                <w:sz w:val="20"/>
                <w:szCs w:val="20"/>
              </w:rPr>
              <w:t xml:space="preserve">3.4.1 Mortality rate attributed to cardiovascular disease, cancer, diabetes or chronic respiratory disease </w:t>
            </w:r>
          </w:p>
          <w:p w14:paraId="3DBD326A" w14:textId="7A49272E" w:rsidR="00556EC4" w:rsidRPr="00AD34BA" w:rsidRDefault="00556EC4" w:rsidP="00390271">
            <w:pPr>
              <w:rPr>
                <w:rFonts w:cstheme="minorHAnsi"/>
                <w:sz w:val="20"/>
                <w:szCs w:val="20"/>
              </w:rPr>
            </w:pPr>
            <w:r w:rsidRPr="00AD34BA">
              <w:rPr>
                <w:rFonts w:cstheme="minorHAnsi"/>
                <w:sz w:val="20"/>
                <w:szCs w:val="20"/>
              </w:rPr>
              <w:t>3.4.2 Suicide mortality rate</w:t>
            </w:r>
          </w:p>
        </w:tc>
      </w:tr>
      <w:tr w:rsidR="00556EC4" w:rsidRPr="00AD34BA" w14:paraId="294E2170" w14:textId="77777777" w:rsidTr="00B62397">
        <w:tc>
          <w:tcPr>
            <w:tcW w:w="4106" w:type="dxa"/>
          </w:tcPr>
          <w:p w14:paraId="5CF06759" w14:textId="57E27293" w:rsidR="00556EC4" w:rsidRPr="00AD34BA" w:rsidRDefault="00556EC4" w:rsidP="00266153">
            <w:pPr>
              <w:rPr>
                <w:rFonts w:cstheme="minorHAnsi"/>
                <w:sz w:val="20"/>
                <w:szCs w:val="20"/>
              </w:rPr>
            </w:pPr>
            <w:r w:rsidRPr="00AD34BA">
              <w:rPr>
                <w:rFonts w:cstheme="minorHAnsi"/>
                <w:sz w:val="20"/>
                <w:szCs w:val="20"/>
              </w:rPr>
              <w:t>3.5 Strengthen the prevention and treatment of substance abuse, including narcotic drug abuse and harmful use of alcohol</w:t>
            </w:r>
          </w:p>
        </w:tc>
        <w:tc>
          <w:tcPr>
            <w:tcW w:w="4910" w:type="dxa"/>
          </w:tcPr>
          <w:p w14:paraId="42106CDB" w14:textId="77777777" w:rsidR="00556EC4" w:rsidRPr="00AD34BA" w:rsidRDefault="00556EC4" w:rsidP="00390271">
            <w:pPr>
              <w:rPr>
                <w:rFonts w:cstheme="minorHAnsi"/>
                <w:sz w:val="20"/>
                <w:szCs w:val="20"/>
              </w:rPr>
            </w:pPr>
            <w:r w:rsidRPr="00AD34BA">
              <w:rPr>
                <w:rFonts w:cstheme="minorHAnsi"/>
                <w:sz w:val="20"/>
                <w:szCs w:val="20"/>
              </w:rPr>
              <w:t xml:space="preserve">3.5.1 Coverage of treatment interventions (pharmacological, psychosocial and rehabilitation and aftercare services) for substance use disorders </w:t>
            </w:r>
          </w:p>
          <w:p w14:paraId="0DB9BB2B" w14:textId="0B2CF7E3" w:rsidR="00556EC4" w:rsidRPr="00AD34BA" w:rsidRDefault="00556EC4" w:rsidP="00390271">
            <w:pPr>
              <w:rPr>
                <w:rFonts w:cstheme="minorHAnsi"/>
                <w:sz w:val="20"/>
                <w:szCs w:val="20"/>
              </w:rPr>
            </w:pPr>
            <w:r w:rsidRPr="00AD34BA">
              <w:rPr>
                <w:rFonts w:cstheme="minorHAnsi"/>
                <w:sz w:val="20"/>
                <w:szCs w:val="20"/>
              </w:rPr>
              <w:t>3.5.2 Alcohol per capita consumption (aged 15 years and older) within a calendar year in litres of pure alcohol</w:t>
            </w:r>
          </w:p>
        </w:tc>
      </w:tr>
      <w:tr w:rsidR="00556EC4" w:rsidRPr="00AD34BA" w14:paraId="1E5843D8" w14:textId="77777777" w:rsidTr="00B62397">
        <w:tc>
          <w:tcPr>
            <w:tcW w:w="4106" w:type="dxa"/>
          </w:tcPr>
          <w:p w14:paraId="62BB91CC" w14:textId="37D10BB9" w:rsidR="00556EC4" w:rsidRPr="00AD34BA" w:rsidRDefault="00556EC4" w:rsidP="00266153">
            <w:pPr>
              <w:rPr>
                <w:rFonts w:cstheme="minorHAnsi"/>
                <w:sz w:val="20"/>
                <w:szCs w:val="20"/>
              </w:rPr>
            </w:pPr>
            <w:r w:rsidRPr="00AD34BA">
              <w:rPr>
                <w:rFonts w:cstheme="minorHAnsi"/>
                <w:sz w:val="20"/>
                <w:szCs w:val="20"/>
              </w:rPr>
              <w:t>3.6 By 2020, halve the number of global deaths and injuries from road traffic accidents</w:t>
            </w:r>
          </w:p>
        </w:tc>
        <w:tc>
          <w:tcPr>
            <w:tcW w:w="4910" w:type="dxa"/>
          </w:tcPr>
          <w:p w14:paraId="50D534D2" w14:textId="37B8391E" w:rsidR="00556EC4" w:rsidRPr="00AD34BA" w:rsidRDefault="00556EC4" w:rsidP="00390271">
            <w:pPr>
              <w:rPr>
                <w:rFonts w:cstheme="minorHAnsi"/>
                <w:sz w:val="20"/>
                <w:szCs w:val="20"/>
              </w:rPr>
            </w:pPr>
            <w:r w:rsidRPr="00AD34BA">
              <w:rPr>
                <w:rFonts w:cstheme="minorHAnsi"/>
                <w:sz w:val="20"/>
                <w:szCs w:val="20"/>
              </w:rPr>
              <w:t>3.6.1 Death rate due to road traffic injuries</w:t>
            </w:r>
          </w:p>
        </w:tc>
      </w:tr>
      <w:tr w:rsidR="00556EC4" w:rsidRPr="00AD34BA" w14:paraId="5B933D4A" w14:textId="77777777" w:rsidTr="00B62397">
        <w:tc>
          <w:tcPr>
            <w:tcW w:w="4106" w:type="dxa"/>
            <w:shd w:val="clear" w:color="auto" w:fill="DEEAF6" w:themeFill="accent5" w:themeFillTint="33"/>
          </w:tcPr>
          <w:p w14:paraId="5FF86913" w14:textId="64F27B3B" w:rsidR="00556EC4" w:rsidRPr="00AD34BA" w:rsidRDefault="00556EC4" w:rsidP="00266153">
            <w:pPr>
              <w:rPr>
                <w:rFonts w:cstheme="minorHAnsi"/>
                <w:sz w:val="20"/>
                <w:szCs w:val="20"/>
              </w:rPr>
            </w:pPr>
            <w:r w:rsidRPr="00AD34BA">
              <w:rPr>
                <w:rFonts w:cstheme="minorHAnsi"/>
                <w:sz w:val="20"/>
                <w:szCs w:val="20"/>
              </w:rPr>
              <w:t xml:space="preserve">3.7 By 2030, ensure universal </w:t>
            </w:r>
            <w:bookmarkStart w:id="6" w:name="_Hlk39824447"/>
            <w:r w:rsidRPr="00AD34BA">
              <w:rPr>
                <w:rFonts w:cstheme="minorHAnsi"/>
                <w:sz w:val="20"/>
                <w:szCs w:val="20"/>
              </w:rPr>
              <w:t>access to sexual and reproductive health-care services</w:t>
            </w:r>
            <w:bookmarkEnd w:id="6"/>
            <w:r w:rsidRPr="00AD34BA">
              <w:rPr>
                <w:rFonts w:cstheme="minorHAnsi"/>
                <w:sz w:val="20"/>
                <w:szCs w:val="20"/>
              </w:rPr>
              <w:t>, including for family planning, information and education, and the integration of reproductive health into national strategies and programmes</w:t>
            </w:r>
          </w:p>
        </w:tc>
        <w:tc>
          <w:tcPr>
            <w:tcW w:w="4910" w:type="dxa"/>
            <w:shd w:val="clear" w:color="auto" w:fill="DEEAF6" w:themeFill="accent5" w:themeFillTint="33"/>
          </w:tcPr>
          <w:p w14:paraId="58AD5927" w14:textId="77777777" w:rsidR="00556EC4" w:rsidRPr="00AD34BA" w:rsidRDefault="00556EC4" w:rsidP="00390271">
            <w:pPr>
              <w:rPr>
                <w:rFonts w:cstheme="minorHAnsi"/>
                <w:sz w:val="20"/>
                <w:szCs w:val="20"/>
              </w:rPr>
            </w:pPr>
            <w:r w:rsidRPr="00AD34BA">
              <w:rPr>
                <w:rFonts w:cstheme="minorHAnsi"/>
                <w:sz w:val="20"/>
                <w:szCs w:val="20"/>
              </w:rPr>
              <w:t xml:space="preserve">3.7.1 Proportion of women of reproductive age (aged 15–49 years) who have their need for family planning satisfied with modern methods </w:t>
            </w:r>
          </w:p>
          <w:p w14:paraId="57E3DC9C" w14:textId="0D420224" w:rsidR="00556EC4" w:rsidRPr="00AD34BA" w:rsidRDefault="00556EC4" w:rsidP="00390271">
            <w:pPr>
              <w:rPr>
                <w:rFonts w:cstheme="minorHAnsi"/>
                <w:sz w:val="20"/>
                <w:szCs w:val="20"/>
              </w:rPr>
            </w:pPr>
            <w:r w:rsidRPr="00AD34BA">
              <w:rPr>
                <w:rFonts w:cstheme="minorHAnsi"/>
                <w:sz w:val="20"/>
                <w:szCs w:val="20"/>
              </w:rPr>
              <w:t>3.7.2 Adolescent birth rate (aged 10–14 years; aged 15–19 years) per 1,000 women in that age group</w:t>
            </w:r>
          </w:p>
        </w:tc>
      </w:tr>
      <w:tr w:rsidR="00556EC4" w:rsidRPr="00AD34BA" w14:paraId="62938DA4" w14:textId="77777777" w:rsidTr="00B62397">
        <w:tc>
          <w:tcPr>
            <w:tcW w:w="4106" w:type="dxa"/>
            <w:shd w:val="clear" w:color="auto" w:fill="DEEAF6" w:themeFill="accent5" w:themeFillTint="33"/>
          </w:tcPr>
          <w:p w14:paraId="4F7FE8A0" w14:textId="36369176" w:rsidR="00556EC4" w:rsidRPr="00AD34BA" w:rsidRDefault="00556EC4" w:rsidP="00266153">
            <w:pPr>
              <w:rPr>
                <w:rFonts w:cstheme="minorHAnsi"/>
                <w:sz w:val="20"/>
                <w:szCs w:val="20"/>
              </w:rPr>
            </w:pPr>
            <w:r w:rsidRPr="00AD34BA">
              <w:rPr>
                <w:rFonts w:cstheme="minorHAnsi"/>
                <w:sz w:val="20"/>
                <w:szCs w:val="20"/>
              </w:rPr>
              <w:t>3.8 Achieve universal health coverage, including financial risk protection, access to quality essential health-care services and access to safe, effective, quality and affordable essential medicines and vaccines for all</w:t>
            </w:r>
          </w:p>
        </w:tc>
        <w:tc>
          <w:tcPr>
            <w:tcW w:w="4910" w:type="dxa"/>
            <w:shd w:val="clear" w:color="auto" w:fill="DEEAF6" w:themeFill="accent5" w:themeFillTint="33"/>
          </w:tcPr>
          <w:p w14:paraId="14897692" w14:textId="77777777" w:rsidR="00556EC4" w:rsidRPr="00AD34BA" w:rsidRDefault="00556EC4" w:rsidP="00390271">
            <w:pPr>
              <w:rPr>
                <w:rFonts w:cstheme="minorHAnsi"/>
                <w:sz w:val="20"/>
                <w:szCs w:val="20"/>
              </w:rPr>
            </w:pPr>
            <w:r w:rsidRPr="00AD34BA">
              <w:rPr>
                <w:rFonts w:cstheme="minorHAnsi"/>
                <w:sz w:val="20"/>
                <w:szCs w:val="20"/>
              </w:rPr>
              <w:t xml:space="preserve">3.8.1 Coverage of essential health services </w:t>
            </w:r>
          </w:p>
          <w:p w14:paraId="790C2926" w14:textId="789683D2" w:rsidR="00556EC4" w:rsidRPr="00AD34BA" w:rsidRDefault="00556EC4" w:rsidP="00390271">
            <w:pPr>
              <w:rPr>
                <w:rFonts w:cstheme="minorHAnsi"/>
                <w:sz w:val="20"/>
                <w:szCs w:val="20"/>
              </w:rPr>
            </w:pPr>
            <w:r w:rsidRPr="00AD34BA">
              <w:rPr>
                <w:rFonts w:cstheme="minorHAnsi"/>
                <w:sz w:val="20"/>
                <w:szCs w:val="20"/>
              </w:rPr>
              <w:t>3.8.2 Proportion of population with large household expenditures on health as a share of total household expenditure or income</w:t>
            </w:r>
          </w:p>
        </w:tc>
      </w:tr>
      <w:tr w:rsidR="00556EC4" w:rsidRPr="00AD34BA" w14:paraId="08F68AAD" w14:textId="77777777" w:rsidTr="00B62397">
        <w:tc>
          <w:tcPr>
            <w:tcW w:w="4106" w:type="dxa"/>
          </w:tcPr>
          <w:p w14:paraId="1415CD55" w14:textId="40C6EEF0" w:rsidR="00556EC4" w:rsidRPr="00AD34BA" w:rsidRDefault="00556EC4" w:rsidP="00266153">
            <w:pPr>
              <w:rPr>
                <w:rFonts w:cstheme="minorHAnsi"/>
                <w:sz w:val="20"/>
                <w:szCs w:val="20"/>
              </w:rPr>
            </w:pPr>
            <w:r w:rsidRPr="00AD34BA">
              <w:rPr>
                <w:rFonts w:cstheme="minorHAnsi"/>
                <w:sz w:val="20"/>
                <w:szCs w:val="20"/>
              </w:rPr>
              <w:t>3.9 By 2030, substantially reduce the number of deaths and illnesses from hazardous chemicals and air, water and soil pollution and contamination</w:t>
            </w:r>
          </w:p>
        </w:tc>
        <w:tc>
          <w:tcPr>
            <w:tcW w:w="4910" w:type="dxa"/>
          </w:tcPr>
          <w:p w14:paraId="3294D7CA" w14:textId="77777777" w:rsidR="00556EC4" w:rsidRPr="00AD34BA" w:rsidRDefault="00556EC4" w:rsidP="00390271">
            <w:pPr>
              <w:rPr>
                <w:rFonts w:cstheme="minorHAnsi"/>
                <w:sz w:val="20"/>
                <w:szCs w:val="20"/>
              </w:rPr>
            </w:pPr>
            <w:r w:rsidRPr="00AD34BA">
              <w:rPr>
                <w:rFonts w:cstheme="minorHAnsi"/>
                <w:sz w:val="20"/>
                <w:szCs w:val="20"/>
              </w:rPr>
              <w:t xml:space="preserve">3.9.1 Mortality rate attributed to household and ambient air pollution </w:t>
            </w:r>
          </w:p>
          <w:p w14:paraId="13273A26" w14:textId="77777777" w:rsidR="00556EC4" w:rsidRPr="00AD34BA" w:rsidRDefault="00556EC4" w:rsidP="00390271">
            <w:pPr>
              <w:rPr>
                <w:rFonts w:cstheme="minorHAnsi"/>
                <w:sz w:val="20"/>
                <w:szCs w:val="20"/>
              </w:rPr>
            </w:pPr>
            <w:r w:rsidRPr="00AD34BA">
              <w:rPr>
                <w:rFonts w:cstheme="minorHAnsi"/>
                <w:sz w:val="20"/>
                <w:szCs w:val="20"/>
              </w:rPr>
              <w:t xml:space="preserve">3.9.2 Mortality rate attributed to unsafe water, unsafe sanitation and lack of hygiene (exposure to unsafe Water, Sanitation and Hygiene for All (WASH) services) </w:t>
            </w:r>
          </w:p>
          <w:p w14:paraId="2372DF8B" w14:textId="62EE8E82" w:rsidR="00556EC4" w:rsidRPr="00AD34BA" w:rsidRDefault="00556EC4" w:rsidP="00390271">
            <w:pPr>
              <w:rPr>
                <w:rFonts w:cstheme="minorHAnsi"/>
                <w:sz w:val="20"/>
                <w:szCs w:val="20"/>
              </w:rPr>
            </w:pPr>
            <w:r w:rsidRPr="00AD34BA">
              <w:rPr>
                <w:rFonts w:cstheme="minorHAnsi"/>
                <w:sz w:val="20"/>
                <w:szCs w:val="20"/>
              </w:rPr>
              <w:t>3.9.3 Mortality rate attributed to unintentional poisoning</w:t>
            </w:r>
          </w:p>
        </w:tc>
      </w:tr>
      <w:tr w:rsidR="00390271" w:rsidRPr="00AD34BA" w14:paraId="050E6C5C" w14:textId="77777777" w:rsidTr="00266153">
        <w:tc>
          <w:tcPr>
            <w:tcW w:w="9016" w:type="dxa"/>
            <w:gridSpan w:val="2"/>
          </w:tcPr>
          <w:p w14:paraId="61188761" w14:textId="77777777" w:rsidR="00390271" w:rsidRPr="00AD34BA" w:rsidRDefault="00390271" w:rsidP="00390271">
            <w:pPr>
              <w:rPr>
                <w:rFonts w:cstheme="minorHAnsi"/>
                <w:sz w:val="20"/>
                <w:szCs w:val="20"/>
              </w:rPr>
            </w:pPr>
          </w:p>
        </w:tc>
      </w:tr>
      <w:tr w:rsidR="00556EC4" w:rsidRPr="00AD34BA" w14:paraId="7CD9F3FD" w14:textId="77777777" w:rsidTr="00B62397">
        <w:tc>
          <w:tcPr>
            <w:tcW w:w="4106" w:type="dxa"/>
          </w:tcPr>
          <w:p w14:paraId="2DE16196" w14:textId="7E93FA92" w:rsidR="00556EC4" w:rsidRPr="00AD34BA" w:rsidRDefault="00556EC4" w:rsidP="00266153">
            <w:pPr>
              <w:rPr>
                <w:rFonts w:cstheme="minorHAnsi"/>
                <w:sz w:val="20"/>
                <w:szCs w:val="20"/>
              </w:rPr>
            </w:pPr>
            <w:r w:rsidRPr="00AD34BA">
              <w:rPr>
                <w:rFonts w:cstheme="minorHAnsi"/>
                <w:sz w:val="20"/>
                <w:szCs w:val="20"/>
              </w:rPr>
              <w:t>3.a Strengthen the implementation of the World Health Organization Framework Convention on Tobacco Control in all countries, as appropriate</w:t>
            </w:r>
          </w:p>
        </w:tc>
        <w:tc>
          <w:tcPr>
            <w:tcW w:w="4910" w:type="dxa"/>
          </w:tcPr>
          <w:p w14:paraId="3A69832C" w14:textId="0ED865D3" w:rsidR="00556EC4" w:rsidRPr="00AD34BA" w:rsidRDefault="00556EC4" w:rsidP="00390271">
            <w:pPr>
              <w:rPr>
                <w:rFonts w:cstheme="minorHAnsi"/>
                <w:sz w:val="20"/>
                <w:szCs w:val="20"/>
              </w:rPr>
            </w:pPr>
            <w:r w:rsidRPr="00AD34BA">
              <w:rPr>
                <w:rFonts w:cstheme="minorHAnsi"/>
                <w:sz w:val="20"/>
                <w:szCs w:val="20"/>
              </w:rPr>
              <w:t>3.a.1 Age-standardized prevalence of current tobacco use among persons aged 15 years and older</w:t>
            </w:r>
          </w:p>
        </w:tc>
      </w:tr>
      <w:tr w:rsidR="00556EC4" w:rsidRPr="00AD34BA" w14:paraId="5F6539E9" w14:textId="77777777" w:rsidTr="00B62397">
        <w:tc>
          <w:tcPr>
            <w:tcW w:w="4106" w:type="dxa"/>
          </w:tcPr>
          <w:p w14:paraId="1816254B" w14:textId="4E67BC30" w:rsidR="00556EC4" w:rsidRPr="00AD34BA" w:rsidRDefault="00556EC4" w:rsidP="00266153">
            <w:pPr>
              <w:rPr>
                <w:rFonts w:cstheme="minorHAnsi"/>
                <w:sz w:val="20"/>
                <w:szCs w:val="20"/>
              </w:rPr>
            </w:pPr>
            <w:r w:rsidRPr="00AD34BA">
              <w:rPr>
                <w:rFonts w:cstheme="minorHAnsi"/>
                <w:sz w:val="20"/>
                <w:szCs w:val="20"/>
              </w:rPr>
              <w:t>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 Aspects of Intellectual Property Rights regarding flexibilities to protect public health, and, in particular, provide access to medicines for all</w:t>
            </w:r>
          </w:p>
        </w:tc>
        <w:tc>
          <w:tcPr>
            <w:tcW w:w="4910" w:type="dxa"/>
          </w:tcPr>
          <w:p w14:paraId="18D6E6B9" w14:textId="77777777" w:rsidR="00556EC4" w:rsidRPr="00AD34BA" w:rsidRDefault="00556EC4" w:rsidP="00390271">
            <w:pPr>
              <w:rPr>
                <w:rFonts w:cstheme="minorHAnsi"/>
                <w:sz w:val="20"/>
                <w:szCs w:val="20"/>
              </w:rPr>
            </w:pPr>
            <w:r w:rsidRPr="00AD34BA">
              <w:rPr>
                <w:rFonts w:cstheme="minorHAnsi"/>
                <w:sz w:val="20"/>
                <w:szCs w:val="20"/>
              </w:rPr>
              <w:t xml:space="preserve">3.b.1 Proportion of the target population covered by all vaccines included in their national programme </w:t>
            </w:r>
          </w:p>
          <w:p w14:paraId="075DFF1B" w14:textId="77777777" w:rsidR="00556EC4" w:rsidRPr="00AD34BA" w:rsidRDefault="00556EC4" w:rsidP="00390271">
            <w:pPr>
              <w:rPr>
                <w:rFonts w:cstheme="minorHAnsi"/>
                <w:sz w:val="20"/>
                <w:szCs w:val="20"/>
              </w:rPr>
            </w:pPr>
            <w:r w:rsidRPr="00AD34BA">
              <w:rPr>
                <w:rFonts w:cstheme="minorHAnsi"/>
                <w:sz w:val="20"/>
                <w:szCs w:val="20"/>
              </w:rPr>
              <w:t xml:space="preserve">3.b.2 Total net official development assistance to medical research and basic health sectors </w:t>
            </w:r>
          </w:p>
          <w:p w14:paraId="24A169D1" w14:textId="3C10759E" w:rsidR="00556EC4" w:rsidRPr="00AD34BA" w:rsidRDefault="00556EC4" w:rsidP="00390271">
            <w:pPr>
              <w:rPr>
                <w:rFonts w:cstheme="minorHAnsi"/>
                <w:sz w:val="20"/>
                <w:szCs w:val="20"/>
              </w:rPr>
            </w:pPr>
            <w:r w:rsidRPr="00AD34BA">
              <w:rPr>
                <w:rFonts w:cstheme="minorHAnsi"/>
                <w:sz w:val="20"/>
                <w:szCs w:val="20"/>
              </w:rPr>
              <w:t>3.b.3 Proportion of health facilities that have a core set of relevant essential medicines available and affordable on a sustainable basis</w:t>
            </w:r>
          </w:p>
        </w:tc>
      </w:tr>
      <w:tr w:rsidR="00556EC4" w:rsidRPr="00AD34BA" w14:paraId="4D85C6D4" w14:textId="77777777" w:rsidTr="00B62397">
        <w:tc>
          <w:tcPr>
            <w:tcW w:w="4106" w:type="dxa"/>
            <w:shd w:val="clear" w:color="auto" w:fill="DEEAF6" w:themeFill="accent5" w:themeFillTint="33"/>
          </w:tcPr>
          <w:p w14:paraId="03CE59D4" w14:textId="248872EA" w:rsidR="00556EC4" w:rsidRPr="00AD34BA" w:rsidRDefault="00556EC4" w:rsidP="00266153">
            <w:pPr>
              <w:rPr>
                <w:rFonts w:cstheme="minorHAnsi"/>
                <w:sz w:val="20"/>
                <w:szCs w:val="20"/>
              </w:rPr>
            </w:pPr>
            <w:r w:rsidRPr="00AD34BA">
              <w:rPr>
                <w:rFonts w:cstheme="minorHAnsi"/>
                <w:sz w:val="20"/>
                <w:szCs w:val="20"/>
              </w:rPr>
              <w:t>3.c Substantially increase health financing and the recruitment, development, training and retention of the health workforce in developing countries, especially in least developed countries and small island developing States</w:t>
            </w:r>
          </w:p>
        </w:tc>
        <w:tc>
          <w:tcPr>
            <w:tcW w:w="4910" w:type="dxa"/>
            <w:shd w:val="clear" w:color="auto" w:fill="DEEAF6" w:themeFill="accent5" w:themeFillTint="33"/>
          </w:tcPr>
          <w:p w14:paraId="1E58BE35" w14:textId="792DB09A" w:rsidR="00556EC4" w:rsidRPr="00AD34BA" w:rsidRDefault="00556EC4" w:rsidP="00390271">
            <w:pPr>
              <w:rPr>
                <w:rFonts w:cstheme="minorHAnsi"/>
                <w:sz w:val="20"/>
                <w:szCs w:val="20"/>
              </w:rPr>
            </w:pPr>
            <w:r w:rsidRPr="00AD34BA">
              <w:rPr>
                <w:rFonts w:cstheme="minorHAnsi"/>
                <w:sz w:val="20"/>
                <w:szCs w:val="20"/>
              </w:rPr>
              <w:t>3.c.1 Health worker density and distribution</w:t>
            </w:r>
          </w:p>
        </w:tc>
      </w:tr>
      <w:tr w:rsidR="00556EC4" w:rsidRPr="00AD34BA" w14:paraId="2EBFC97F" w14:textId="77777777" w:rsidTr="00B62397">
        <w:tc>
          <w:tcPr>
            <w:tcW w:w="4106" w:type="dxa"/>
          </w:tcPr>
          <w:p w14:paraId="6EE4D476" w14:textId="715EC151" w:rsidR="00556EC4" w:rsidRPr="00AD34BA" w:rsidRDefault="00556EC4" w:rsidP="00266153">
            <w:pPr>
              <w:rPr>
                <w:rFonts w:cstheme="minorHAnsi"/>
                <w:sz w:val="20"/>
                <w:szCs w:val="20"/>
              </w:rPr>
            </w:pPr>
            <w:r w:rsidRPr="00AD34BA">
              <w:rPr>
                <w:rFonts w:cstheme="minorHAnsi"/>
                <w:sz w:val="20"/>
                <w:szCs w:val="20"/>
              </w:rPr>
              <w:t>3.d Strengthen the capacity of all countries, in particular developing countries, for early warning, risk reduction and management of national and global health risks</w:t>
            </w:r>
          </w:p>
        </w:tc>
        <w:tc>
          <w:tcPr>
            <w:tcW w:w="4910" w:type="dxa"/>
          </w:tcPr>
          <w:p w14:paraId="22C8DE1D" w14:textId="77777777" w:rsidR="00390271" w:rsidRPr="00AD34BA" w:rsidRDefault="00390271" w:rsidP="00390271">
            <w:pPr>
              <w:rPr>
                <w:rFonts w:cstheme="minorHAnsi"/>
                <w:sz w:val="20"/>
                <w:szCs w:val="20"/>
              </w:rPr>
            </w:pPr>
            <w:r w:rsidRPr="00AD34BA">
              <w:rPr>
                <w:rFonts w:cstheme="minorHAnsi"/>
                <w:sz w:val="20"/>
                <w:szCs w:val="20"/>
              </w:rPr>
              <w:t xml:space="preserve">3.d.1 International Health Regulations (IHR) capacity and health emergency preparedness </w:t>
            </w:r>
          </w:p>
          <w:p w14:paraId="0EFDD36F" w14:textId="77777777" w:rsidR="00390271" w:rsidRPr="00AD34BA" w:rsidRDefault="00390271" w:rsidP="00390271">
            <w:pPr>
              <w:rPr>
                <w:rFonts w:cstheme="minorHAnsi"/>
                <w:sz w:val="20"/>
                <w:szCs w:val="20"/>
              </w:rPr>
            </w:pPr>
            <w:r w:rsidRPr="00AD34BA">
              <w:rPr>
                <w:rFonts w:cstheme="minorHAnsi"/>
                <w:sz w:val="20"/>
                <w:szCs w:val="20"/>
              </w:rPr>
              <w:t xml:space="preserve"> </w:t>
            </w:r>
          </w:p>
          <w:p w14:paraId="5BB7A19C" w14:textId="7E6F2EA3" w:rsidR="00556EC4" w:rsidRPr="00AD34BA" w:rsidRDefault="00390271" w:rsidP="00390271">
            <w:pPr>
              <w:rPr>
                <w:rFonts w:cstheme="minorHAnsi"/>
                <w:sz w:val="20"/>
                <w:szCs w:val="20"/>
              </w:rPr>
            </w:pPr>
            <w:r w:rsidRPr="00AD34BA">
              <w:rPr>
                <w:rFonts w:cstheme="minorHAnsi"/>
                <w:sz w:val="20"/>
                <w:szCs w:val="20"/>
              </w:rPr>
              <w:t>3.d.2 Percentage of bloodstream infections due to selected antimicrobial-resistant organisms</w:t>
            </w:r>
          </w:p>
        </w:tc>
      </w:tr>
      <w:tr w:rsidR="00AD34BA" w:rsidRPr="00AD34BA" w14:paraId="2388C7D5" w14:textId="77777777" w:rsidTr="00AD34BA">
        <w:tc>
          <w:tcPr>
            <w:tcW w:w="9016" w:type="dxa"/>
            <w:gridSpan w:val="2"/>
            <w:shd w:val="clear" w:color="auto" w:fill="B4C6E7" w:themeFill="accent1" w:themeFillTint="66"/>
          </w:tcPr>
          <w:p w14:paraId="2CB12943" w14:textId="4B815321" w:rsidR="00AD34BA" w:rsidRPr="00AD34BA" w:rsidRDefault="00AD34BA" w:rsidP="00390271">
            <w:pPr>
              <w:rPr>
                <w:rFonts w:cstheme="minorHAnsi"/>
                <w:b/>
                <w:bCs/>
                <w:sz w:val="20"/>
                <w:szCs w:val="20"/>
              </w:rPr>
            </w:pPr>
            <w:r w:rsidRPr="00AD34BA">
              <w:rPr>
                <w:rFonts w:cstheme="minorHAnsi"/>
                <w:b/>
                <w:bCs/>
                <w:sz w:val="20"/>
                <w:szCs w:val="20"/>
              </w:rPr>
              <w:t xml:space="preserve">Other SDGs </w:t>
            </w:r>
            <w:r>
              <w:rPr>
                <w:rFonts w:cstheme="minorHAnsi"/>
                <w:b/>
                <w:bCs/>
                <w:sz w:val="20"/>
                <w:szCs w:val="20"/>
              </w:rPr>
              <w:t xml:space="preserve">(strong determinants of health outcomes) </w:t>
            </w:r>
            <w:r w:rsidRPr="00AD34BA">
              <w:rPr>
                <w:rFonts w:cstheme="minorHAnsi"/>
                <w:b/>
                <w:bCs/>
                <w:sz w:val="20"/>
                <w:szCs w:val="20"/>
              </w:rPr>
              <w:t>that PMNCH will contribute to and track</w:t>
            </w:r>
          </w:p>
        </w:tc>
      </w:tr>
      <w:tr w:rsidR="00AD34BA" w:rsidRPr="00AD34BA" w14:paraId="0A54F1B8" w14:textId="77777777" w:rsidTr="00B62397">
        <w:tc>
          <w:tcPr>
            <w:tcW w:w="4106" w:type="dxa"/>
          </w:tcPr>
          <w:p w14:paraId="0E25E89D" w14:textId="6B42E8CF" w:rsidR="00AD34BA" w:rsidRPr="00B62397" w:rsidRDefault="00AD34BA" w:rsidP="00B62397">
            <w:pPr>
              <w:contextualSpacing/>
              <w:rPr>
                <w:rFonts w:eastAsia="Times New Roman" w:cstheme="minorHAnsi"/>
                <w:b/>
                <w:bCs/>
                <w:sz w:val="20"/>
                <w:szCs w:val="20"/>
                <w:lang w:eastAsia="en-GB"/>
              </w:rPr>
            </w:pPr>
            <w:r w:rsidRPr="00B62397">
              <w:rPr>
                <w:rFonts w:eastAsia="Times New Roman" w:cstheme="minorHAnsi"/>
                <w:b/>
                <w:bCs/>
                <w:sz w:val="20"/>
                <w:szCs w:val="20"/>
                <w:lang w:eastAsia="en-GB"/>
              </w:rPr>
              <w:t>Poverty reduction</w:t>
            </w:r>
            <w:r w:rsidRPr="00B62397">
              <w:rPr>
                <w:rFonts w:eastAsia="Times New Roman" w:cstheme="minorHAnsi"/>
                <w:sz w:val="20"/>
                <w:szCs w:val="20"/>
                <w:lang w:eastAsia="en-GB"/>
              </w:rPr>
              <w:t xml:space="preserve">: SDG 1.1 </w:t>
            </w:r>
            <w:r w:rsidRPr="00B62397">
              <w:rPr>
                <w:rFonts w:cstheme="minorHAnsi"/>
                <w:sz w:val="20"/>
                <w:szCs w:val="20"/>
                <w:shd w:val="clear" w:color="auto" w:fill="FFFFFF"/>
              </w:rPr>
              <w:t>By 2030, eradicate extreme poverty for all people everywhere, currently measured as people living on less than $1.25 a day</w:t>
            </w:r>
          </w:p>
        </w:tc>
        <w:tc>
          <w:tcPr>
            <w:tcW w:w="4910" w:type="dxa"/>
          </w:tcPr>
          <w:p w14:paraId="5F599278" w14:textId="334E21EC" w:rsidR="00AD34BA" w:rsidRPr="00B62397" w:rsidRDefault="00AD34BA" w:rsidP="00B62397">
            <w:pPr>
              <w:contextualSpacing/>
              <w:rPr>
                <w:rFonts w:cstheme="minorHAnsi"/>
                <w:sz w:val="20"/>
                <w:szCs w:val="20"/>
                <w:shd w:val="clear" w:color="auto" w:fill="FFFFFF"/>
              </w:rPr>
            </w:pPr>
            <w:r w:rsidRPr="00B62397">
              <w:rPr>
                <w:rFonts w:cstheme="minorHAnsi"/>
                <w:sz w:val="20"/>
                <w:szCs w:val="20"/>
                <w:shd w:val="clear" w:color="auto" w:fill="FFFFFF"/>
              </w:rPr>
              <w:t>1.1.1 Proportion of population below the international poverty line, by sex, age, employment status and geographical location (urban/rural)</w:t>
            </w:r>
          </w:p>
        </w:tc>
      </w:tr>
      <w:tr w:rsidR="00B72EE3" w:rsidRPr="00AD34BA" w14:paraId="4FF5CFFF" w14:textId="77777777" w:rsidTr="00D243A8">
        <w:tc>
          <w:tcPr>
            <w:tcW w:w="4106" w:type="dxa"/>
          </w:tcPr>
          <w:p w14:paraId="079D90EA" w14:textId="77777777" w:rsidR="00B72EE3" w:rsidRPr="00B62397" w:rsidRDefault="00B72EE3" w:rsidP="00D243A8">
            <w:pPr>
              <w:contextualSpacing/>
              <w:rPr>
                <w:rFonts w:eastAsia="Times New Roman" w:cstheme="minorHAnsi"/>
                <w:sz w:val="20"/>
                <w:szCs w:val="20"/>
                <w:lang w:eastAsia="en-GB"/>
              </w:rPr>
            </w:pPr>
            <w:r w:rsidRPr="00B62397">
              <w:rPr>
                <w:rFonts w:cstheme="minorHAnsi"/>
                <w:b/>
                <w:bCs/>
                <w:sz w:val="20"/>
                <w:szCs w:val="20"/>
              </w:rPr>
              <w:t>Nutrition</w:t>
            </w:r>
            <w:r w:rsidRPr="00B62397">
              <w:rPr>
                <w:rFonts w:cstheme="minorHAnsi"/>
                <w:sz w:val="20"/>
                <w:szCs w:val="20"/>
              </w:rPr>
              <w:t xml:space="preserve">: SDG 2.2 </w:t>
            </w:r>
            <w:r w:rsidRPr="00B62397">
              <w:rPr>
                <w:rFonts w:eastAsia="Times New Roman" w:cstheme="minorHAnsi"/>
                <w:sz w:val="20"/>
                <w:szCs w:val="20"/>
                <w:lang w:eastAsia="en-GB"/>
              </w:rPr>
              <w:t>By 2030, end all forms of malnutrition, including achieving, by 2025, the internationally agreed targets on stunting and wasting in children under 5 years of age, and address the nutritional needs of adolescent girls, pregnant and lactating women and older persons</w:t>
            </w:r>
          </w:p>
        </w:tc>
        <w:tc>
          <w:tcPr>
            <w:tcW w:w="4910" w:type="dxa"/>
          </w:tcPr>
          <w:p w14:paraId="42CD0F2A" w14:textId="77777777" w:rsidR="00B72EE3" w:rsidRPr="00B62397" w:rsidRDefault="00B72EE3" w:rsidP="00D243A8">
            <w:pPr>
              <w:contextualSpacing/>
              <w:rPr>
                <w:rFonts w:eastAsia="Times New Roman" w:cstheme="minorHAnsi"/>
                <w:sz w:val="20"/>
                <w:szCs w:val="20"/>
                <w:lang w:eastAsia="en-GB"/>
              </w:rPr>
            </w:pPr>
            <w:r w:rsidRPr="00B62397">
              <w:rPr>
                <w:rFonts w:cstheme="minorHAnsi"/>
                <w:sz w:val="20"/>
                <w:szCs w:val="20"/>
                <w:shd w:val="clear" w:color="auto" w:fill="FFFFFF"/>
              </w:rPr>
              <w:t xml:space="preserve">2.2.1 </w:t>
            </w:r>
            <w:r w:rsidRPr="00B62397">
              <w:rPr>
                <w:rFonts w:eastAsia="Times New Roman" w:cstheme="minorHAnsi"/>
                <w:sz w:val="20"/>
                <w:szCs w:val="20"/>
                <w:lang w:eastAsia="en-GB"/>
              </w:rPr>
              <w:t>Prevalence of stunting (height for age &lt;-2 standard deviation from the median of the World Health Organization (WHO) Child Growth Standards) among children under 5 years of age</w:t>
            </w:r>
          </w:p>
          <w:p w14:paraId="4FCB93E6" w14:textId="77777777" w:rsidR="00B72EE3" w:rsidRPr="00B62397" w:rsidRDefault="00B72EE3" w:rsidP="00D243A8">
            <w:pPr>
              <w:contextualSpacing/>
              <w:rPr>
                <w:rFonts w:cstheme="minorHAnsi"/>
                <w:sz w:val="20"/>
                <w:szCs w:val="20"/>
              </w:rPr>
            </w:pPr>
            <w:r w:rsidRPr="00B62397">
              <w:rPr>
                <w:rFonts w:cstheme="minorHAnsi"/>
                <w:sz w:val="20"/>
                <w:szCs w:val="20"/>
                <w:shd w:val="clear" w:color="auto" w:fill="FFFFFF"/>
              </w:rPr>
              <w:t>2.2.2 Prevalence of malnutrition (weight for height &gt;+2 or &lt;-2 standard deviation from the median of the WHO Child Growth Standards) among children under 5 years of age, by type (wasting and overweight)</w:t>
            </w:r>
          </w:p>
        </w:tc>
      </w:tr>
      <w:tr w:rsidR="00AD34BA" w:rsidRPr="00AD34BA" w14:paraId="2671FA8C" w14:textId="77777777" w:rsidTr="00B62397">
        <w:tc>
          <w:tcPr>
            <w:tcW w:w="4106" w:type="dxa"/>
          </w:tcPr>
          <w:p w14:paraId="35D16226" w14:textId="5D31A2F0" w:rsidR="00AD34BA" w:rsidRPr="00B62397" w:rsidRDefault="00AD34BA" w:rsidP="00B62397">
            <w:pPr>
              <w:contextualSpacing/>
              <w:rPr>
                <w:rFonts w:eastAsia="Times New Roman" w:cstheme="minorHAnsi"/>
                <w:sz w:val="20"/>
                <w:szCs w:val="20"/>
                <w:lang w:eastAsia="en-GB"/>
              </w:rPr>
            </w:pPr>
            <w:r w:rsidRPr="00B62397">
              <w:rPr>
                <w:rFonts w:eastAsia="Times New Roman" w:cstheme="minorHAnsi"/>
                <w:b/>
                <w:bCs/>
                <w:sz w:val="20"/>
                <w:szCs w:val="20"/>
                <w:lang w:eastAsia="en-GB"/>
              </w:rPr>
              <w:t>Girls’ Education</w:t>
            </w:r>
            <w:r w:rsidRPr="00B62397">
              <w:rPr>
                <w:rFonts w:eastAsia="Times New Roman" w:cstheme="minorHAnsi"/>
                <w:sz w:val="20"/>
                <w:szCs w:val="20"/>
                <w:lang w:eastAsia="en-GB"/>
              </w:rPr>
              <w:t xml:space="preserve">: SDG 4.1 </w:t>
            </w:r>
            <w:r w:rsidRPr="00AD34BA">
              <w:rPr>
                <w:rFonts w:eastAsia="Times New Roman" w:cstheme="minorHAnsi"/>
                <w:sz w:val="20"/>
                <w:szCs w:val="20"/>
                <w:lang w:eastAsia="en-GB"/>
              </w:rPr>
              <w:t xml:space="preserve">By 2030, ensure that all girls and boys complete free, equitable and quality primary and secondary education leading to relevant and effective learning outcomes </w:t>
            </w:r>
          </w:p>
        </w:tc>
        <w:tc>
          <w:tcPr>
            <w:tcW w:w="4910" w:type="dxa"/>
          </w:tcPr>
          <w:p w14:paraId="3CAF26D8" w14:textId="4DD863F7" w:rsidR="00AD34BA" w:rsidRPr="00B62397" w:rsidRDefault="00AD34BA" w:rsidP="00B62397">
            <w:pPr>
              <w:contextualSpacing/>
              <w:rPr>
                <w:rFonts w:cstheme="minorHAnsi"/>
                <w:sz w:val="20"/>
                <w:szCs w:val="20"/>
              </w:rPr>
            </w:pPr>
            <w:r w:rsidRPr="00B62397">
              <w:rPr>
                <w:rFonts w:cstheme="minorHAnsi"/>
                <w:sz w:val="20"/>
                <w:szCs w:val="20"/>
                <w:shd w:val="clear" w:color="auto" w:fill="FFFFFF"/>
              </w:rPr>
              <w:t>4.1.1 Proportion of children and young people: (a) in grades 2/3; (b) at the end of primary; and (c) at the end of lower secondary achieving at least a minimum proficiency level in (</w:t>
            </w:r>
            <w:proofErr w:type="spellStart"/>
            <w:r w:rsidRPr="00B62397">
              <w:rPr>
                <w:rFonts w:cstheme="minorHAnsi"/>
                <w:sz w:val="20"/>
                <w:szCs w:val="20"/>
                <w:shd w:val="clear" w:color="auto" w:fill="FFFFFF"/>
              </w:rPr>
              <w:t>i</w:t>
            </w:r>
            <w:proofErr w:type="spellEnd"/>
            <w:r w:rsidRPr="00B62397">
              <w:rPr>
                <w:rFonts w:cstheme="minorHAnsi"/>
                <w:sz w:val="20"/>
                <w:szCs w:val="20"/>
                <w:shd w:val="clear" w:color="auto" w:fill="FFFFFF"/>
              </w:rPr>
              <w:t>) reading and (ii) mathematics, by sex</w:t>
            </w:r>
          </w:p>
        </w:tc>
      </w:tr>
      <w:tr w:rsidR="00B72EE3" w:rsidRPr="00AD34BA" w14:paraId="5BA58AC3" w14:textId="77777777" w:rsidTr="00D243A8">
        <w:tc>
          <w:tcPr>
            <w:tcW w:w="4106" w:type="dxa"/>
          </w:tcPr>
          <w:p w14:paraId="24297D64" w14:textId="77777777" w:rsidR="00B72EE3" w:rsidRPr="00B62397" w:rsidRDefault="00B72EE3" w:rsidP="00D243A8">
            <w:pPr>
              <w:contextualSpacing/>
              <w:rPr>
                <w:rFonts w:eastAsia="Times New Roman" w:cstheme="minorHAnsi"/>
                <w:sz w:val="20"/>
                <w:szCs w:val="20"/>
                <w:lang w:eastAsia="en-GB"/>
              </w:rPr>
            </w:pPr>
            <w:r w:rsidRPr="00B62397">
              <w:rPr>
                <w:rFonts w:cstheme="minorHAnsi"/>
                <w:b/>
                <w:bCs/>
                <w:sz w:val="20"/>
                <w:szCs w:val="20"/>
              </w:rPr>
              <w:t>Early Childhood Development</w:t>
            </w:r>
            <w:r w:rsidRPr="00B62397">
              <w:rPr>
                <w:rFonts w:cstheme="minorHAnsi"/>
                <w:sz w:val="20"/>
                <w:szCs w:val="20"/>
              </w:rPr>
              <w:t xml:space="preserve">: SDG 4.2 </w:t>
            </w:r>
            <w:r w:rsidRPr="00B62397">
              <w:rPr>
                <w:rFonts w:eastAsia="Times New Roman" w:cstheme="minorHAnsi"/>
                <w:sz w:val="20"/>
                <w:szCs w:val="20"/>
                <w:lang w:eastAsia="en-GB"/>
              </w:rPr>
              <w:t>By 2030, ensure that all girls and boys have access to quality early childhood development, care and pre-primary education so that they are ready for primary education</w:t>
            </w:r>
          </w:p>
        </w:tc>
        <w:tc>
          <w:tcPr>
            <w:tcW w:w="4910" w:type="dxa"/>
          </w:tcPr>
          <w:p w14:paraId="66BC2A09" w14:textId="77777777" w:rsidR="00B72EE3" w:rsidRPr="00B62397" w:rsidRDefault="00B72EE3" w:rsidP="00D243A8">
            <w:pPr>
              <w:contextualSpacing/>
              <w:rPr>
                <w:rFonts w:cstheme="minorHAnsi"/>
                <w:sz w:val="20"/>
                <w:szCs w:val="20"/>
              </w:rPr>
            </w:pPr>
            <w:r w:rsidRPr="00B62397">
              <w:rPr>
                <w:rFonts w:eastAsia="Times New Roman" w:cstheme="minorHAnsi"/>
                <w:caps/>
                <w:sz w:val="20"/>
                <w:szCs w:val="20"/>
                <w:lang w:eastAsia="en-GB"/>
              </w:rPr>
              <w:t xml:space="preserve">4.2.1 </w:t>
            </w:r>
            <w:r w:rsidRPr="00B62397">
              <w:rPr>
                <w:rFonts w:eastAsia="Times New Roman" w:cstheme="minorHAnsi"/>
                <w:sz w:val="20"/>
                <w:szCs w:val="20"/>
                <w:lang w:eastAsia="en-GB"/>
              </w:rPr>
              <w:t>Proportion of children under 5 years of age who are developmentally on track in health, learning and psychosocial well-being, by sex</w:t>
            </w:r>
          </w:p>
        </w:tc>
      </w:tr>
      <w:tr w:rsidR="00B72EE3" w:rsidRPr="00AD34BA" w14:paraId="5FA22B0E" w14:textId="77777777" w:rsidTr="00D243A8">
        <w:tc>
          <w:tcPr>
            <w:tcW w:w="4106" w:type="dxa"/>
          </w:tcPr>
          <w:p w14:paraId="1E272600" w14:textId="77777777" w:rsidR="00B72EE3" w:rsidRPr="00B62397" w:rsidRDefault="00B72EE3" w:rsidP="00D243A8">
            <w:pPr>
              <w:contextualSpacing/>
              <w:rPr>
                <w:rFonts w:eastAsia="Times New Roman" w:cstheme="minorHAnsi"/>
                <w:sz w:val="20"/>
                <w:szCs w:val="20"/>
                <w:lang w:eastAsia="en-GB"/>
              </w:rPr>
            </w:pPr>
            <w:r w:rsidRPr="00B62397">
              <w:rPr>
                <w:rFonts w:cstheme="minorHAnsi"/>
                <w:b/>
                <w:bCs/>
                <w:sz w:val="20"/>
                <w:szCs w:val="20"/>
              </w:rPr>
              <w:t>Gender Equality</w:t>
            </w:r>
            <w:r w:rsidRPr="00B62397">
              <w:rPr>
                <w:rFonts w:cstheme="minorHAnsi"/>
                <w:sz w:val="20"/>
                <w:szCs w:val="20"/>
              </w:rPr>
              <w:t>: SDG 5.1</w:t>
            </w:r>
            <w:r w:rsidRPr="00B62397">
              <w:rPr>
                <w:rFonts w:cstheme="minorHAnsi"/>
                <w:b/>
                <w:bCs/>
                <w:sz w:val="20"/>
                <w:szCs w:val="20"/>
              </w:rPr>
              <w:t xml:space="preserve"> </w:t>
            </w:r>
            <w:r w:rsidRPr="00B62397">
              <w:rPr>
                <w:rFonts w:eastAsia="Times New Roman" w:cstheme="minorHAnsi"/>
                <w:sz w:val="20"/>
                <w:szCs w:val="20"/>
                <w:lang w:eastAsia="en-GB"/>
              </w:rPr>
              <w:t>End all forms of discrimination against all women and girls everywhere; SDG 5.2 Eliminate all forms of violence against all women and girls in the public and private spheres, including trafficking and sexual and other types of exploitation</w:t>
            </w:r>
          </w:p>
          <w:p w14:paraId="5EE99CD3" w14:textId="77777777" w:rsidR="00B72EE3" w:rsidRPr="00B62397" w:rsidRDefault="00B72EE3" w:rsidP="00D243A8">
            <w:pPr>
              <w:contextualSpacing/>
              <w:rPr>
                <w:rFonts w:cstheme="minorHAnsi"/>
                <w:b/>
                <w:bCs/>
                <w:sz w:val="20"/>
                <w:szCs w:val="20"/>
              </w:rPr>
            </w:pPr>
          </w:p>
        </w:tc>
        <w:tc>
          <w:tcPr>
            <w:tcW w:w="4910" w:type="dxa"/>
          </w:tcPr>
          <w:p w14:paraId="433227CA" w14:textId="77777777" w:rsidR="00B72EE3" w:rsidRPr="00B62397" w:rsidRDefault="00B72EE3" w:rsidP="00D243A8">
            <w:pPr>
              <w:contextualSpacing/>
              <w:rPr>
                <w:rFonts w:eastAsia="Times New Roman" w:cstheme="minorHAnsi"/>
                <w:sz w:val="20"/>
                <w:szCs w:val="20"/>
                <w:lang w:eastAsia="en-GB"/>
              </w:rPr>
            </w:pPr>
            <w:r w:rsidRPr="00B62397">
              <w:rPr>
                <w:rFonts w:cstheme="minorHAnsi"/>
                <w:sz w:val="20"/>
                <w:szCs w:val="20"/>
                <w:shd w:val="clear" w:color="auto" w:fill="FFFFFF"/>
              </w:rPr>
              <w:t xml:space="preserve">5.1.1 </w:t>
            </w:r>
            <w:r w:rsidRPr="00B62397">
              <w:rPr>
                <w:rFonts w:eastAsia="Times New Roman" w:cstheme="minorHAnsi"/>
                <w:sz w:val="20"/>
                <w:szCs w:val="20"/>
                <w:lang w:eastAsia="en-GB"/>
              </w:rPr>
              <w:t>Whether or not legal frameworks are in place to promote, enforce and monitor equality and non</w:t>
            </w:r>
            <w:r w:rsidRPr="00B62397">
              <w:rPr>
                <w:rFonts w:eastAsia="Times New Roman" w:cstheme="minorHAnsi"/>
                <w:sz w:val="20"/>
                <w:szCs w:val="20"/>
                <w:lang w:eastAsia="en-GB"/>
              </w:rPr>
              <w:noBreakHyphen/>
              <w:t xml:space="preserve">discrimination on the basis of sex </w:t>
            </w:r>
          </w:p>
          <w:p w14:paraId="762D41C1" w14:textId="77777777" w:rsidR="00B72EE3" w:rsidRPr="00B62397" w:rsidRDefault="00B72EE3" w:rsidP="00D243A8">
            <w:pPr>
              <w:contextualSpacing/>
              <w:rPr>
                <w:rFonts w:eastAsia="Times New Roman" w:cstheme="minorHAnsi"/>
                <w:sz w:val="20"/>
                <w:szCs w:val="20"/>
                <w:lang w:eastAsia="en-GB"/>
              </w:rPr>
            </w:pPr>
            <w:r w:rsidRPr="00B62397">
              <w:rPr>
                <w:rFonts w:eastAsia="Times New Roman" w:cstheme="minorHAnsi"/>
                <w:caps/>
                <w:sz w:val="20"/>
                <w:szCs w:val="20"/>
                <w:lang w:eastAsia="en-GB"/>
              </w:rPr>
              <w:t xml:space="preserve">5.2.1 </w:t>
            </w:r>
            <w:r w:rsidRPr="00B62397">
              <w:rPr>
                <w:rFonts w:eastAsia="Times New Roman" w:cstheme="minorHAnsi"/>
                <w:sz w:val="20"/>
                <w:szCs w:val="20"/>
                <w:lang w:eastAsia="en-GB"/>
              </w:rPr>
              <w:t xml:space="preserve">Proportion of ever-partnered women and girls aged 15 years and older subjected to physical, sexual or psychological violence by a current or former intimate partner in the previous 12 months, by form of violence and by age </w:t>
            </w:r>
          </w:p>
          <w:p w14:paraId="41406CFE" w14:textId="77777777" w:rsidR="00B72EE3" w:rsidRPr="00B62397" w:rsidRDefault="00B72EE3" w:rsidP="00D243A8">
            <w:pPr>
              <w:contextualSpacing/>
              <w:rPr>
                <w:rFonts w:eastAsia="Times New Roman" w:cstheme="minorHAnsi"/>
                <w:sz w:val="20"/>
                <w:szCs w:val="20"/>
                <w:lang w:eastAsia="en-GB"/>
              </w:rPr>
            </w:pPr>
            <w:r w:rsidRPr="00B62397">
              <w:rPr>
                <w:rFonts w:eastAsia="Times New Roman" w:cstheme="minorHAnsi"/>
                <w:caps/>
                <w:sz w:val="20"/>
                <w:szCs w:val="20"/>
                <w:lang w:eastAsia="en-GB"/>
              </w:rPr>
              <w:t xml:space="preserve">5.2.2 </w:t>
            </w:r>
            <w:r w:rsidRPr="00B62397">
              <w:rPr>
                <w:rFonts w:eastAsia="Times New Roman" w:cstheme="minorHAnsi"/>
                <w:sz w:val="20"/>
                <w:szCs w:val="20"/>
                <w:lang w:eastAsia="en-GB"/>
              </w:rPr>
              <w:t xml:space="preserve">Proportion of women and girls aged 15 years and older subjected to sexual violence by persons other than an intimate partner in the previous 12 months, by age and place of occurrence </w:t>
            </w:r>
          </w:p>
        </w:tc>
      </w:tr>
      <w:tr w:rsidR="00AD34BA" w:rsidRPr="00AD34BA" w14:paraId="37444286" w14:textId="77777777" w:rsidTr="00B62397">
        <w:tc>
          <w:tcPr>
            <w:tcW w:w="4106" w:type="dxa"/>
          </w:tcPr>
          <w:p w14:paraId="483AAEF6" w14:textId="65FC9679" w:rsidR="00AD34BA" w:rsidRPr="00B62397" w:rsidRDefault="00AD34BA" w:rsidP="00B62397">
            <w:pPr>
              <w:contextualSpacing/>
              <w:rPr>
                <w:rFonts w:eastAsia="Times New Roman" w:cstheme="minorHAnsi"/>
                <w:sz w:val="20"/>
                <w:szCs w:val="20"/>
                <w:lang w:eastAsia="en-GB"/>
              </w:rPr>
            </w:pPr>
            <w:r w:rsidRPr="00B62397">
              <w:rPr>
                <w:rFonts w:cstheme="minorHAnsi"/>
                <w:b/>
                <w:bCs/>
                <w:sz w:val="20"/>
                <w:szCs w:val="20"/>
              </w:rPr>
              <w:t>WASH</w:t>
            </w:r>
            <w:r w:rsidRPr="00B62397">
              <w:rPr>
                <w:rFonts w:cstheme="minorHAnsi"/>
                <w:sz w:val="20"/>
                <w:szCs w:val="20"/>
              </w:rPr>
              <w:t>:</w:t>
            </w:r>
            <w:r w:rsidR="00B62397" w:rsidRPr="00B62397">
              <w:rPr>
                <w:rFonts w:cstheme="minorHAnsi"/>
                <w:sz w:val="20"/>
                <w:szCs w:val="20"/>
              </w:rPr>
              <w:t xml:space="preserve"> SDG 6.1 </w:t>
            </w:r>
            <w:r w:rsidR="00B62397" w:rsidRPr="00B62397">
              <w:rPr>
                <w:rFonts w:eastAsia="Times New Roman" w:cstheme="minorHAnsi"/>
                <w:sz w:val="20"/>
                <w:szCs w:val="20"/>
                <w:lang w:eastAsia="en-GB"/>
              </w:rPr>
              <w:t xml:space="preserve">By 2030, achieve universal and equitable access to safe and affordable drinking water for all; SDG 6.2 </w:t>
            </w:r>
            <w:r w:rsidR="00B62397" w:rsidRPr="00B62397">
              <w:rPr>
                <w:rFonts w:cstheme="minorHAnsi"/>
                <w:sz w:val="20"/>
                <w:szCs w:val="20"/>
                <w:shd w:val="clear" w:color="auto" w:fill="FFFFFF"/>
              </w:rPr>
              <w:t>By 2030, achieve access to adequate and equitable sanitation and hygiene for all and end open defecation, paying special attention to the needs of women and girls and those in vulnerable situations</w:t>
            </w:r>
            <w:r w:rsidR="00B62397" w:rsidRPr="00B62397">
              <w:rPr>
                <w:rFonts w:eastAsia="Times New Roman" w:cstheme="minorHAnsi"/>
                <w:sz w:val="20"/>
                <w:szCs w:val="20"/>
                <w:lang w:eastAsia="en-GB"/>
              </w:rPr>
              <w:t xml:space="preserve"> </w:t>
            </w:r>
          </w:p>
        </w:tc>
        <w:tc>
          <w:tcPr>
            <w:tcW w:w="4910" w:type="dxa"/>
          </w:tcPr>
          <w:p w14:paraId="3D81F856" w14:textId="46F22A28" w:rsidR="00B62397" w:rsidRPr="00B62397" w:rsidRDefault="00B62397" w:rsidP="00B62397">
            <w:pPr>
              <w:contextualSpacing/>
              <w:rPr>
                <w:rFonts w:cstheme="minorHAnsi"/>
                <w:sz w:val="20"/>
                <w:szCs w:val="20"/>
                <w:shd w:val="clear" w:color="auto" w:fill="FFFFFF"/>
              </w:rPr>
            </w:pPr>
            <w:r w:rsidRPr="00B62397">
              <w:rPr>
                <w:rFonts w:cstheme="minorHAnsi"/>
                <w:sz w:val="20"/>
                <w:szCs w:val="20"/>
                <w:shd w:val="clear" w:color="auto" w:fill="FFFFFF"/>
              </w:rPr>
              <w:t>6.1.1 Proportion of population using safely managed drinking water services</w:t>
            </w:r>
          </w:p>
          <w:p w14:paraId="0E56E963" w14:textId="3CC71BCA" w:rsidR="00AD34BA" w:rsidRPr="00B62397" w:rsidRDefault="00B62397" w:rsidP="00B62397">
            <w:pPr>
              <w:contextualSpacing/>
              <w:rPr>
                <w:rFonts w:cstheme="minorHAnsi"/>
                <w:sz w:val="20"/>
                <w:szCs w:val="20"/>
              </w:rPr>
            </w:pPr>
            <w:r w:rsidRPr="00B62397">
              <w:rPr>
                <w:rFonts w:cstheme="minorHAnsi"/>
                <w:sz w:val="20"/>
                <w:szCs w:val="20"/>
                <w:shd w:val="clear" w:color="auto" w:fill="FFFFFF"/>
              </w:rPr>
              <w:t>6.2.1 Proportion of population using safely managed sanitation services, including a hand-washing facility with soap and water</w:t>
            </w:r>
          </w:p>
        </w:tc>
      </w:tr>
      <w:tr w:rsidR="00AD34BA" w:rsidRPr="00AD34BA" w14:paraId="1F030215" w14:textId="77777777" w:rsidTr="00B62397">
        <w:tc>
          <w:tcPr>
            <w:tcW w:w="4106" w:type="dxa"/>
          </w:tcPr>
          <w:p w14:paraId="10ABB5F0" w14:textId="43FFE29E" w:rsidR="00AD34BA" w:rsidRPr="00B62397" w:rsidRDefault="00AD34BA" w:rsidP="00B62397">
            <w:pPr>
              <w:contextualSpacing/>
              <w:rPr>
                <w:rFonts w:eastAsia="Times New Roman" w:cstheme="minorHAnsi"/>
                <w:sz w:val="20"/>
                <w:szCs w:val="20"/>
                <w:lang w:eastAsia="en-GB"/>
              </w:rPr>
            </w:pPr>
            <w:r w:rsidRPr="00B62397">
              <w:rPr>
                <w:rFonts w:cstheme="minorHAnsi"/>
                <w:b/>
                <w:bCs/>
                <w:sz w:val="20"/>
                <w:szCs w:val="20"/>
              </w:rPr>
              <w:t xml:space="preserve">Violence </w:t>
            </w:r>
            <w:r w:rsidR="00B62397">
              <w:rPr>
                <w:rFonts w:cstheme="minorHAnsi"/>
                <w:b/>
                <w:bCs/>
                <w:sz w:val="20"/>
                <w:szCs w:val="20"/>
              </w:rPr>
              <w:t>A</w:t>
            </w:r>
            <w:r w:rsidRPr="00B62397">
              <w:rPr>
                <w:rFonts w:cstheme="minorHAnsi"/>
                <w:b/>
                <w:bCs/>
                <w:sz w:val="20"/>
                <w:szCs w:val="20"/>
              </w:rPr>
              <w:t xml:space="preserve">gainst </w:t>
            </w:r>
            <w:r w:rsidR="00B62397">
              <w:rPr>
                <w:rFonts w:cstheme="minorHAnsi"/>
                <w:b/>
                <w:bCs/>
                <w:sz w:val="20"/>
                <w:szCs w:val="20"/>
              </w:rPr>
              <w:t>C</w:t>
            </w:r>
            <w:r w:rsidRPr="00B62397">
              <w:rPr>
                <w:rFonts w:cstheme="minorHAnsi"/>
                <w:b/>
                <w:bCs/>
                <w:sz w:val="20"/>
                <w:szCs w:val="20"/>
              </w:rPr>
              <w:t>hildren</w:t>
            </w:r>
            <w:r w:rsidRPr="00B62397">
              <w:rPr>
                <w:rFonts w:cstheme="minorHAnsi"/>
                <w:sz w:val="20"/>
                <w:szCs w:val="20"/>
              </w:rPr>
              <w:t xml:space="preserve">: </w:t>
            </w:r>
            <w:r w:rsidR="00B62397" w:rsidRPr="00B62397">
              <w:rPr>
                <w:rFonts w:cstheme="minorHAnsi"/>
                <w:sz w:val="20"/>
                <w:szCs w:val="20"/>
              </w:rPr>
              <w:t xml:space="preserve">SDG 16.2 </w:t>
            </w:r>
            <w:r w:rsidR="00B62397" w:rsidRPr="00B62397">
              <w:rPr>
                <w:rFonts w:eastAsia="Times New Roman" w:cstheme="minorHAnsi"/>
                <w:sz w:val="20"/>
                <w:szCs w:val="20"/>
                <w:lang w:eastAsia="en-GB"/>
              </w:rPr>
              <w:t xml:space="preserve">End abuse, exploitation, trafficking and all forms of violence against and torture of children </w:t>
            </w:r>
          </w:p>
        </w:tc>
        <w:tc>
          <w:tcPr>
            <w:tcW w:w="4910" w:type="dxa"/>
          </w:tcPr>
          <w:p w14:paraId="6E159B56" w14:textId="4BB79453" w:rsidR="00B62397" w:rsidRPr="00B62397" w:rsidRDefault="00B62397" w:rsidP="00B62397">
            <w:pPr>
              <w:contextualSpacing/>
              <w:rPr>
                <w:rFonts w:eastAsia="Times New Roman" w:cstheme="minorHAnsi"/>
                <w:sz w:val="20"/>
                <w:szCs w:val="20"/>
                <w:lang w:eastAsia="en-GB"/>
              </w:rPr>
            </w:pPr>
            <w:r w:rsidRPr="00B62397">
              <w:rPr>
                <w:rFonts w:eastAsia="Times New Roman" w:cstheme="minorHAnsi"/>
                <w:caps/>
                <w:sz w:val="20"/>
                <w:szCs w:val="20"/>
                <w:lang w:eastAsia="en-GB"/>
              </w:rPr>
              <w:t xml:space="preserve">16.2.1 </w:t>
            </w:r>
            <w:r w:rsidRPr="00B62397">
              <w:rPr>
                <w:rFonts w:eastAsia="Times New Roman" w:cstheme="minorHAnsi"/>
                <w:sz w:val="20"/>
                <w:szCs w:val="20"/>
                <w:lang w:eastAsia="en-GB"/>
              </w:rPr>
              <w:t xml:space="preserve">Proportion of children aged 1-17 years who experienced any physical punishment and/or psychological aggression by caregivers in the past month </w:t>
            </w:r>
          </w:p>
          <w:p w14:paraId="4DAC4A10" w14:textId="1ADC23BE" w:rsidR="00B62397" w:rsidRPr="00B62397" w:rsidRDefault="00B62397" w:rsidP="00B62397">
            <w:pPr>
              <w:contextualSpacing/>
              <w:rPr>
                <w:rFonts w:eastAsia="Times New Roman" w:cstheme="minorHAnsi"/>
                <w:sz w:val="20"/>
                <w:szCs w:val="20"/>
                <w:lang w:eastAsia="en-GB"/>
              </w:rPr>
            </w:pPr>
            <w:r w:rsidRPr="00B62397">
              <w:rPr>
                <w:rFonts w:eastAsia="Times New Roman" w:cstheme="minorHAnsi"/>
                <w:caps/>
                <w:sz w:val="20"/>
                <w:szCs w:val="20"/>
                <w:lang w:eastAsia="en-GB"/>
              </w:rPr>
              <w:t xml:space="preserve">16.2.2 </w:t>
            </w:r>
            <w:r w:rsidRPr="00B62397">
              <w:rPr>
                <w:rFonts w:eastAsia="Times New Roman" w:cstheme="minorHAnsi"/>
                <w:sz w:val="20"/>
                <w:szCs w:val="20"/>
                <w:lang w:eastAsia="en-GB"/>
              </w:rPr>
              <w:t xml:space="preserve">Number of victims of human trafficking per 100,000 population, by sex, age and form of exploitation </w:t>
            </w:r>
          </w:p>
          <w:p w14:paraId="266F830B" w14:textId="04C3AB85" w:rsidR="00AD34BA" w:rsidRPr="00B62397" w:rsidRDefault="00B62397" w:rsidP="00B62397">
            <w:pPr>
              <w:contextualSpacing/>
              <w:rPr>
                <w:rFonts w:eastAsia="Times New Roman" w:cstheme="minorHAnsi"/>
                <w:sz w:val="20"/>
                <w:szCs w:val="20"/>
                <w:lang w:eastAsia="en-GB"/>
              </w:rPr>
            </w:pPr>
            <w:r w:rsidRPr="00B62397">
              <w:rPr>
                <w:rFonts w:eastAsia="Times New Roman" w:cstheme="minorHAnsi"/>
                <w:caps/>
                <w:sz w:val="20"/>
                <w:szCs w:val="20"/>
                <w:lang w:eastAsia="en-GB"/>
              </w:rPr>
              <w:t xml:space="preserve">16.2.3 </w:t>
            </w:r>
            <w:r w:rsidRPr="00B62397">
              <w:rPr>
                <w:rFonts w:eastAsia="Times New Roman" w:cstheme="minorHAnsi"/>
                <w:sz w:val="20"/>
                <w:szCs w:val="20"/>
                <w:lang w:eastAsia="en-GB"/>
              </w:rPr>
              <w:t>Proportion of young women and men aged 18</w:t>
            </w:r>
            <w:r w:rsidRPr="00B62397">
              <w:rPr>
                <w:rFonts w:eastAsia="Times New Roman" w:cstheme="minorHAnsi"/>
                <w:sz w:val="20"/>
                <w:szCs w:val="20"/>
                <w:lang w:eastAsia="en-GB"/>
              </w:rPr>
              <w:noBreakHyphen/>
              <w:t>29 years who experienced sexual violence by age 18</w:t>
            </w:r>
          </w:p>
        </w:tc>
      </w:tr>
      <w:tr w:rsidR="00B72EE3" w:rsidRPr="00AD34BA" w14:paraId="74263C35" w14:textId="77777777" w:rsidTr="00B62397">
        <w:tc>
          <w:tcPr>
            <w:tcW w:w="4106" w:type="dxa"/>
          </w:tcPr>
          <w:p w14:paraId="07DEBBF5" w14:textId="142D75DF" w:rsidR="00B72EE3" w:rsidRPr="00FE0BF3" w:rsidRDefault="007F1182" w:rsidP="007F1182">
            <w:pPr>
              <w:contextualSpacing/>
              <w:rPr>
                <w:rFonts w:eastAsia="Times New Roman" w:cstheme="minorHAnsi"/>
                <w:sz w:val="20"/>
                <w:szCs w:val="20"/>
                <w:lang w:eastAsia="en-GB"/>
              </w:rPr>
            </w:pPr>
            <w:r w:rsidRPr="007F1182">
              <w:rPr>
                <w:rFonts w:cstheme="minorHAnsi"/>
                <w:b/>
                <w:bCs/>
                <w:sz w:val="20"/>
                <w:szCs w:val="20"/>
              </w:rPr>
              <w:t>Partnerships</w:t>
            </w:r>
            <w:r w:rsidRPr="007F1182">
              <w:rPr>
                <w:rFonts w:cstheme="minorHAnsi"/>
                <w:sz w:val="20"/>
                <w:szCs w:val="20"/>
              </w:rPr>
              <w:t xml:space="preserve">: SDG 17.1 (Finance) </w:t>
            </w:r>
            <w:r w:rsidRPr="007F1182">
              <w:rPr>
                <w:rFonts w:eastAsia="Times New Roman" w:cstheme="minorHAnsi"/>
                <w:sz w:val="20"/>
                <w:szCs w:val="20"/>
                <w:lang w:eastAsia="en-GB"/>
              </w:rPr>
              <w:t>Strengthen domestic resource mobilization, including through international support to developing countries, to improve domestic capacity for tax and other revenue collection;</w:t>
            </w:r>
            <w:r w:rsidRPr="007F1182">
              <w:rPr>
                <w:rFonts w:cstheme="minorHAnsi"/>
                <w:sz w:val="20"/>
                <w:szCs w:val="20"/>
              </w:rPr>
              <w:t xml:space="preserve"> SDG 17.16 (Multi-stakeholder partnerships) </w:t>
            </w:r>
            <w:r w:rsidRPr="007F1182">
              <w:rPr>
                <w:rFonts w:eastAsia="Times New Roman" w:cstheme="minorHAnsi"/>
                <w:sz w:val="20"/>
                <w:szCs w:val="20"/>
                <w:lang w:eastAsia="en-GB"/>
              </w:rPr>
              <w:t xml:space="preserve">Enhance the global partnership for sustainable development, complemented by multi-stakeholder partnerships that mobilize and share knowledge, expertise, technology and financial resources, to support the achievement of the sustainable development goals in all countries, in particular developing countries </w:t>
            </w:r>
          </w:p>
        </w:tc>
        <w:tc>
          <w:tcPr>
            <w:tcW w:w="4910" w:type="dxa"/>
          </w:tcPr>
          <w:p w14:paraId="598D5FF1" w14:textId="5EB40506" w:rsidR="007F1182" w:rsidRPr="007F1182" w:rsidRDefault="007F1182" w:rsidP="007F1182">
            <w:pPr>
              <w:contextualSpacing/>
              <w:rPr>
                <w:rFonts w:eastAsia="Times New Roman" w:cstheme="minorHAnsi"/>
                <w:sz w:val="20"/>
                <w:szCs w:val="20"/>
                <w:lang w:eastAsia="en-GB"/>
              </w:rPr>
            </w:pPr>
            <w:r w:rsidRPr="007F1182">
              <w:rPr>
                <w:rFonts w:eastAsia="Times New Roman" w:cstheme="minorHAnsi"/>
                <w:sz w:val="20"/>
                <w:szCs w:val="20"/>
                <w:lang w:eastAsia="en-GB"/>
              </w:rPr>
              <w:t xml:space="preserve">17.1.1 Total government revenue as a proportion of GDP, by source </w:t>
            </w:r>
          </w:p>
          <w:p w14:paraId="52448DE5" w14:textId="77280EDD" w:rsidR="007F1182" w:rsidRPr="007F1182" w:rsidRDefault="007F1182" w:rsidP="007F1182">
            <w:pPr>
              <w:contextualSpacing/>
              <w:rPr>
                <w:rFonts w:eastAsia="Times New Roman" w:cstheme="minorHAnsi"/>
                <w:sz w:val="20"/>
                <w:szCs w:val="20"/>
                <w:lang w:eastAsia="en-GB"/>
              </w:rPr>
            </w:pPr>
            <w:r w:rsidRPr="007F1182">
              <w:rPr>
                <w:rFonts w:eastAsia="Times New Roman" w:cstheme="minorHAnsi"/>
                <w:caps/>
                <w:sz w:val="20"/>
                <w:szCs w:val="20"/>
                <w:lang w:eastAsia="en-GB"/>
              </w:rPr>
              <w:t xml:space="preserve">17.1.2 </w:t>
            </w:r>
            <w:r w:rsidRPr="007F1182">
              <w:rPr>
                <w:rFonts w:eastAsia="Times New Roman" w:cstheme="minorHAnsi"/>
                <w:sz w:val="20"/>
                <w:szCs w:val="20"/>
                <w:lang w:eastAsia="en-GB"/>
              </w:rPr>
              <w:t xml:space="preserve">Proportion of domestic budget funded by domestic taxes </w:t>
            </w:r>
          </w:p>
          <w:p w14:paraId="600CA76E" w14:textId="7B6887F2" w:rsidR="007F1182" w:rsidRPr="007F1182" w:rsidRDefault="007F1182" w:rsidP="007F1182">
            <w:pPr>
              <w:contextualSpacing/>
              <w:rPr>
                <w:rFonts w:eastAsia="Times New Roman" w:cstheme="minorHAnsi"/>
                <w:b/>
                <w:bCs/>
                <w:caps/>
                <w:sz w:val="20"/>
                <w:szCs w:val="20"/>
                <w:lang w:eastAsia="en-GB"/>
              </w:rPr>
            </w:pPr>
            <w:r w:rsidRPr="007F1182">
              <w:rPr>
                <w:rFonts w:eastAsia="Times New Roman" w:cstheme="minorHAnsi"/>
                <w:caps/>
                <w:sz w:val="20"/>
                <w:szCs w:val="20"/>
                <w:lang w:eastAsia="en-GB"/>
              </w:rPr>
              <w:t xml:space="preserve">17.16.1 </w:t>
            </w:r>
            <w:r w:rsidRPr="007F1182">
              <w:rPr>
                <w:rFonts w:eastAsia="Times New Roman" w:cstheme="minorHAnsi"/>
                <w:sz w:val="20"/>
                <w:szCs w:val="20"/>
                <w:lang w:eastAsia="en-GB"/>
              </w:rPr>
              <w:t xml:space="preserve">Number of countries reporting progress in multi-stakeholder development effectiveness monitoring frameworks that support the achievement of the sustainable development goals </w:t>
            </w:r>
          </w:p>
          <w:p w14:paraId="06DD5583" w14:textId="77777777" w:rsidR="00B72EE3" w:rsidRPr="007F1182" w:rsidRDefault="00B72EE3" w:rsidP="007F1182">
            <w:pPr>
              <w:contextualSpacing/>
              <w:rPr>
                <w:rFonts w:eastAsia="Times New Roman" w:cstheme="minorHAnsi"/>
                <w:caps/>
                <w:sz w:val="20"/>
                <w:szCs w:val="20"/>
                <w:lang w:eastAsia="en-GB"/>
              </w:rPr>
            </w:pPr>
          </w:p>
        </w:tc>
      </w:tr>
      <w:bookmarkEnd w:id="5"/>
    </w:tbl>
    <w:p w14:paraId="03EBE203" w14:textId="1BB1B14C" w:rsidR="00556EC4" w:rsidRDefault="00556EC4" w:rsidP="000008B0">
      <w:pPr>
        <w:rPr>
          <w:rFonts w:ascii="Franklin Gothic Book" w:hAnsi="Franklin Gothic Book"/>
          <w:b/>
          <w:bCs/>
          <w:color w:val="7030A0"/>
        </w:rPr>
      </w:pPr>
    </w:p>
    <w:sectPr w:rsidR="00556EC4" w:rsidSect="00896CA0">
      <w:pgSz w:w="11906" w:h="16838"/>
      <w:pgMar w:top="1440"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AC6B7" w14:textId="77777777" w:rsidR="008D6238" w:rsidRDefault="008D6238" w:rsidP="007E04AB">
      <w:r>
        <w:separator/>
      </w:r>
    </w:p>
  </w:endnote>
  <w:endnote w:type="continuationSeparator" w:id="0">
    <w:p w14:paraId="71B706C2" w14:textId="77777777" w:rsidR="008D6238" w:rsidRDefault="008D6238" w:rsidP="007E04AB">
      <w:r>
        <w:continuationSeparator/>
      </w:r>
    </w:p>
  </w:endnote>
  <w:endnote w:id="1">
    <w:p w14:paraId="53E9480F" w14:textId="46B8261B" w:rsidR="00B15F00" w:rsidRDefault="00B15F00" w:rsidP="00103AD6">
      <w:pPr>
        <w:pStyle w:val="EndnoteText"/>
      </w:pPr>
      <w:r>
        <w:rPr>
          <w:rStyle w:val="EndnoteReference"/>
        </w:rPr>
        <w:endnoteRef/>
      </w:r>
      <w:r>
        <w:t xml:space="preserve"> Levels &amp; Trends in Child Mortality. UNICEF. 2019</w:t>
      </w:r>
    </w:p>
  </w:endnote>
  <w:endnote w:id="2">
    <w:p w14:paraId="377E3D78" w14:textId="77777777" w:rsidR="00B15F00" w:rsidRDefault="00B15F00" w:rsidP="00103AD6">
      <w:pPr>
        <w:pStyle w:val="EndnoteText"/>
      </w:pPr>
      <w:r>
        <w:rPr>
          <w:rStyle w:val="EndnoteReference"/>
        </w:rPr>
        <w:endnoteRef/>
      </w:r>
      <w:r>
        <w:t xml:space="preserve"> Ibid.</w:t>
      </w:r>
    </w:p>
  </w:endnote>
  <w:endnote w:id="3">
    <w:p w14:paraId="0108EC28" w14:textId="77777777" w:rsidR="00B15F00" w:rsidRDefault="00B15F00" w:rsidP="00103AD6">
      <w:pPr>
        <w:pStyle w:val="EndnoteText"/>
      </w:pPr>
      <w:r>
        <w:rPr>
          <w:rStyle w:val="EndnoteReference"/>
        </w:rPr>
        <w:endnoteRef/>
      </w:r>
      <w:r>
        <w:t xml:space="preserve"> Survive and thrive: Transforming care for every sick newborn. WHO.  2018.</w:t>
      </w:r>
    </w:p>
  </w:endnote>
  <w:endnote w:id="4">
    <w:p w14:paraId="26E185C2" w14:textId="77777777" w:rsidR="00B15F00" w:rsidRDefault="00B15F00" w:rsidP="00103AD6">
      <w:pPr>
        <w:pStyle w:val="EndnoteText"/>
      </w:pPr>
      <w:r>
        <w:rPr>
          <w:rStyle w:val="EndnoteReference"/>
        </w:rPr>
        <w:endnoteRef/>
      </w:r>
      <w:r>
        <w:t xml:space="preserve"> </w:t>
      </w:r>
      <w:r w:rsidRPr="00F60BBF">
        <w:t>Maternal mortality: Levels and trends</w:t>
      </w:r>
      <w:r>
        <w:t xml:space="preserve">. </w:t>
      </w:r>
      <w:r w:rsidRPr="00F60BBF">
        <w:t>WHO</w:t>
      </w:r>
      <w:r>
        <w:t>. 2019</w:t>
      </w:r>
    </w:p>
  </w:endnote>
  <w:endnote w:id="5">
    <w:p w14:paraId="729889DD" w14:textId="77777777" w:rsidR="00B15F00" w:rsidRDefault="00B15F00" w:rsidP="00103AD6">
      <w:pPr>
        <w:pStyle w:val="EndnoteText"/>
      </w:pPr>
      <w:r>
        <w:rPr>
          <w:rStyle w:val="EndnoteReference"/>
        </w:rPr>
        <w:endnoteRef/>
      </w:r>
      <w:r>
        <w:t xml:space="preserve"> Mason E, Sen G,  Yamin E. </w:t>
      </w:r>
      <w:r w:rsidRPr="00562F11">
        <w:t>Universal health coverage provisions for women, children and adolescents</w:t>
      </w:r>
      <w:r>
        <w:t xml:space="preserve">. </w:t>
      </w:r>
      <w:r w:rsidRPr="00562F11">
        <w:t>Bulletin of the World Health Organization 2020</w:t>
      </w:r>
      <w:r>
        <w:rPr>
          <w:rFonts w:ascii="Helvetica" w:hAnsi="Helvetica" w:cs="Helvetica"/>
          <w:color w:val="333333"/>
          <w:shd w:val="clear" w:color="auto" w:fill="FFFFFF"/>
        </w:rPr>
        <w:t>;98:79-79A. doi: </w:t>
      </w:r>
      <w:hyperlink r:id="rId1" w:history="1">
        <w:r>
          <w:rPr>
            <w:rStyle w:val="Hyperlink"/>
            <w:rFonts w:ascii="Helvetica" w:hAnsi="Helvetica" w:cs="Helvetica"/>
            <w:color w:val="723475"/>
            <w:bdr w:val="none" w:sz="0" w:space="0" w:color="auto" w:frame="1"/>
            <w:shd w:val="clear" w:color="auto" w:fill="FFFFFF"/>
          </w:rPr>
          <w:t>http://dx.doi.org/10.2471/BLT.19.249474</w:t>
        </w:r>
      </w:hyperlink>
    </w:p>
  </w:endnote>
  <w:endnote w:id="6">
    <w:p w14:paraId="60EDDA6B" w14:textId="77777777" w:rsidR="00B15F00" w:rsidRDefault="00B15F00" w:rsidP="00103AD6">
      <w:pPr>
        <w:pStyle w:val="EndnoteText"/>
      </w:pPr>
      <w:r>
        <w:rPr>
          <w:rStyle w:val="EndnoteReference"/>
        </w:rPr>
        <w:endnoteRef/>
      </w:r>
      <w:r>
        <w:t xml:space="preserve"> </w:t>
      </w:r>
      <w:r w:rsidRPr="00C95F11">
        <w:t>Adding It Up: Investing in Contraception and Maternal and Newborn Health</w:t>
      </w:r>
      <w:r>
        <w:t>. Guttmacher Institute. 2017</w:t>
      </w:r>
    </w:p>
  </w:endnote>
  <w:endnote w:id="7">
    <w:p w14:paraId="1FE133E2" w14:textId="77777777" w:rsidR="00B15F00" w:rsidRDefault="00B15F00" w:rsidP="00103AD6">
      <w:pPr>
        <w:pStyle w:val="EndnoteText"/>
      </w:pPr>
      <w:r>
        <w:rPr>
          <w:rStyle w:val="EndnoteReference"/>
        </w:rPr>
        <w:endnoteRef/>
      </w:r>
      <w:r>
        <w:t xml:space="preserve"> </w:t>
      </w:r>
      <w:r w:rsidRPr="00625635">
        <w:t>Trends in sexual activity and demand for and use of modern contraceptive methods in 74 countries: a retrospective analysis of nationally representative surveys</w:t>
      </w:r>
      <w:r>
        <w:t>. Lancet Global Health. 2020</w:t>
      </w:r>
    </w:p>
  </w:endnote>
  <w:endnote w:id="8">
    <w:p w14:paraId="1D9025FE" w14:textId="77777777" w:rsidR="00B15F00" w:rsidRDefault="00B15F00" w:rsidP="00103AD6">
      <w:pPr>
        <w:pStyle w:val="EndnoteText"/>
      </w:pPr>
      <w:r>
        <w:rPr>
          <w:rStyle w:val="EndnoteReference"/>
        </w:rPr>
        <w:endnoteRef/>
      </w:r>
      <w:r>
        <w:t xml:space="preserve"> </w:t>
      </w:r>
      <w:r w:rsidRPr="00C73733">
        <w:t>World Health Organization, COVID-19: operational guidance for maintaining essential health services during an outbreak, 2020, https://www.who.int/publications-detail/covid-19-operational-guidance-for-maintaining-essential-health-services-during-an-outbreak.</w:t>
      </w:r>
    </w:p>
  </w:endnote>
  <w:endnote w:id="9">
    <w:p w14:paraId="3E0E404A" w14:textId="77777777" w:rsidR="00B15F00" w:rsidRDefault="00B15F00" w:rsidP="00103AD6">
      <w:pPr>
        <w:pStyle w:val="EndnoteText"/>
      </w:pPr>
      <w:r>
        <w:rPr>
          <w:rStyle w:val="EndnoteReference"/>
        </w:rPr>
        <w:endnoteRef/>
      </w:r>
      <w:r>
        <w:t xml:space="preserve"> </w:t>
      </w:r>
      <w:r w:rsidRPr="00C73733">
        <w:t>Marie Stopes International, Methodology for calculating impact of COVID-19, 2020, https://www.mariestopes.org/resources/methodology-for-calculating-impact-of-covid-19.</w:t>
      </w:r>
    </w:p>
  </w:endnote>
  <w:endnote w:id="10">
    <w:p w14:paraId="43C52781" w14:textId="77777777" w:rsidR="00B15F00" w:rsidRDefault="00B15F00" w:rsidP="00103AD6">
      <w:pPr>
        <w:pStyle w:val="EndnoteText"/>
      </w:pPr>
      <w:r>
        <w:rPr>
          <w:rStyle w:val="EndnoteReference"/>
        </w:rPr>
        <w:endnoteRef/>
      </w:r>
      <w:r>
        <w:t xml:space="preserve"> </w:t>
      </w:r>
      <w:r w:rsidRPr="00C73733">
        <w:t>Estimates of the Potential Impact of the COVID-19 Pandemic on Sexual and Reproductive Health in Low- and Middle-Income Countries</w:t>
      </w:r>
      <w:r>
        <w:t>. Guttmacher. 2020</w:t>
      </w:r>
    </w:p>
  </w:endnote>
  <w:endnote w:id="11">
    <w:p w14:paraId="7D896AC8" w14:textId="77777777" w:rsidR="00B15F00" w:rsidRDefault="00B15F00" w:rsidP="00103AD6">
      <w:pPr>
        <w:pStyle w:val="EndnoteText"/>
      </w:pPr>
      <w:r>
        <w:rPr>
          <w:rStyle w:val="EndnoteReference"/>
        </w:rPr>
        <w:endnoteRef/>
      </w:r>
      <w:r>
        <w:t xml:space="preserve"> Sheehan P, Sweeny K, Rasmussen B, Wils A, et al. Building the foundations for sustainable development: a case for global investment in the capabilities of adolescents. Lancet, 2017; 390: 1792–806.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Arial Nova">
    <w:panose1 w:val="020B05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ra PRO">
    <w:altName w:val="Cera PRO"/>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4813C" w14:textId="204D8FC0" w:rsidR="00B15F00" w:rsidRPr="00FE31F0" w:rsidRDefault="00B15F00" w:rsidP="00394A15">
    <w:pPr>
      <w:ind w:hanging="2"/>
      <w:jc w:val="right"/>
      <w:rPr>
        <w:rFonts w:asciiTheme="majorHAnsi" w:eastAsia="Gill Sans" w:hAnsiTheme="majorHAnsi" w:cstheme="majorHAnsi"/>
        <w:color w:val="2F5496" w:themeColor="accent1" w:themeShade="BF"/>
        <w:sz w:val="18"/>
        <w:szCs w:val="18"/>
      </w:rPr>
    </w:pPr>
    <w:r w:rsidRPr="00FE31F0">
      <w:rPr>
        <w:rFonts w:asciiTheme="majorHAnsi" w:eastAsia="Gill Sans" w:hAnsiTheme="majorHAnsi" w:cstheme="majorHAnsi"/>
        <w:color w:val="2F5496" w:themeColor="accent1" w:themeShade="BF"/>
        <w:sz w:val="18"/>
        <w:szCs w:val="18"/>
      </w:rPr>
      <w:t xml:space="preserve">Page </w:t>
    </w:r>
    <w:r w:rsidRPr="00FE31F0">
      <w:rPr>
        <w:rFonts w:asciiTheme="majorHAnsi" w:eastAsia="Gill Sans" w:hAnsiTheme="majorHAnsi" w:cstheme="majorHAnsi"/>
        <w:color w:val="2F5496" w:themeColor="accent1" w:themeShade="BF"/>
        <w:sz w:val="18"/>
        <w:szCs w:val="18"/>
      </w:rPr>
      <w:fldChar w:fldCharType="begin"/>
    </w:r>
    <w:r w:rsidRPr="00FE31F0">
      <w:rPr>
        <w:rFonts w:asciiTheme="majorHAnsi" w:eastAsia="Gill Sans" w:hAnsiTheme="majorHAnsi" w:cstheme="majorHAnsi"/>
        <w:color w:val="2F5496" w:themeColor="accent1" w:themeShade="BF"/>
        <w:sz w:val="18"/>
        <w:szCs w:val="18"/>
      </w:rPr>
      <w:instrText>PAGE</w:instrText>
    </w:r>
    <w:r w:rsidRPr="00FE31F0">
      <w:rPr>
        <w:rFonts w:asciiTheme="majorHAnsi" w:eastAsia="Gill Sans" w:hAnsiTheme="majorHAnsi" w:cstheme="majorHAnsi"/>
        <w:color w:val="2F5496" w:themeColor="accent1" w:themeShade="BF"/>
        <w:sz w:val="18"/>
        <w:szCs w:val="18"/>
      </w:rPr>
      <w:fldChar w:fldCharType="separate"/>
    </w:r>
    <w:r>
      <w:rPr>
        <w:rFonts w:asciiTheme="majorHAnsi" w:eastAsia="Gill Sans" w:hAnsiTheme="majorHAnsi" w:cstheme="majorHAnsi"/>
        <w:noProof/>
        <w:color w:val="2F5496" w:themeColor="accent1" w:themeShade="BF"/>
        <w:sz w:val="18"/>
        <w:szCs w:val="18"/>
      </w:rPr>
      <w:t>11</w:t>
    </w:r>
    <w:r w:rsidRPr="00FE31F0">
      <w:rPr>
        <w:rFonts w:asciiTheme="majorHAnsi" w:eastAsia="Gill Sans" w:hAnsiTheme="majorHAnsi" w:cstheme="majorHAnsi"/>
        <w:color w:val="2F5496" w:themeColor="accent1" w:themeShade="BF"/>
        <w:sz w:val="18"/>
        <w:szCs w:val="18"/>
      </w:rPr>
      <w:fldChar w:fldCharType="end"/>
    </w:r>
    <w:r w:rsidRPr="00FE31F0">
      <w:rPr>
        <w:rFonts w:asciiTheme="majorHAnsi" w:eastAsia="Gill Sans" w:hAnsiTheme="majorHAnsi" w:cstheme="majorHAnsi"/>
        <w:color w:val="2F5496" w:themeColor="accent1" w:themeShade="BF"/>
        <w:sz w:val="18"/>
        <w:szCs w:val="18"/>
      </w:rPr>
      <w:t xml:space="preserve"> of </w:t>
    </w:r>
    <w:r w:rsidRPr="00FE31F0">
      <w:rPr>
        <w:rFonts w:asciiTheme="majorHAnsi" w:eastAsia="Gill Sans" w:hAnsiTheme="majorHAnsi" w:cstheme="majorHAnsi"/>
        <w:color w:val="2F5496" w:themeColor="accent1" w:themeShade="BF"/>
        <w:sz w:val="18"/>
        <w:szCs w:val="18"/>
      </w:rPr>
      <w:fldChar w:fldCharType="begin"/>
    </w:r>
    <w:r w:rsidRPr="00FE31F0">
      <w:rPr>
        <w:rFonts w:asciiTheme="majorHAnsi" w:eastAsia="Gill Sans" w:hAnsiTheme="majorHAnsi" w:cstheme="majorHAnsi"/>
        <w:color w:val="2F5496" w:themeColor="accent1" w:themeShade="BF"/>
        <w:sz w:val="18"/>
        <w:szCs w:val="18"/>
      </w:rPr>
      <w:instrText>NUMPAGES</w:instrText>
    </w:r>
    <w:r w:rsidRPr="00FE31F0">
      <w:rPr>
        <w:rFonts w:asciiTheme="majorHAnsi" w:eastAsia="Gill Sans" w:hAnsiTheme="majorHAnsi" w:cstheme="majorHAnsi"/>
        <w:color w:val="2F5496" w:themeColor="accent1" w:themeShade="BF"/>
        <w:sz w:val="18"/>
        <w:szCs w:val="18"/>
      </w:rPr>
      <w:fldChar w:fldCharType="separate"/>
    </w:r>
    <w:r>
      <w:rPr>
        <w:rFonts w:asciiTheme="majorHAnsi" w:eastAsia="Gill Sans" w:hAnsiTheme="majorHAnsi" w:cstheme="majorHAnsi"/>
        <w:noProof/>
        <w:color w:val="2F5496" w:themeColor="accent1" w:themeShade="BF"/>
        <w:sz w:val="18"/>
        <w:szCs w:val="18"/>
      </w:rPr>
      <w:t>19</w:t>
    </w:r>
    <w:r w:rsidRPr="00FE31F0">
      <w:rPr>
        <w:rFonts w:asciiTheme="majorHAnsi" w:eastAsia="Gill Sans" w:hAnsiTheme="majorHAnsi" w:cstheme="majorHAnsi"/>
        <w:color w:val="2F5496" w:themeColor="accent1" w:themeShade="BF"/>
        <w:sz w:val="18"/>
        <w:szCs w:val="18"/>
      </w:rPr>
      <w:fldChar w:fldCharType="end"/>
    </w:r>
  </w:p>
  <w:p w14:paraId="239E9851" w14:textId="77777777" w:rsidR="00B15F00" w:rsidRDefault="00B15F00">
    <w:pPr>
      <w:pStyle w:val="Footer"/>
    </w:pPr>
  </w:p>
  <w:p w14:paraId="164613C6" w14:textId="77777777" w:rsidR="00B15F00" w:rsidRDefault="00B15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C1946" w14:textId="77777777" w:rsidR="00B15F00" w:rsidRDefault="00B15F00">
    <w:pPr>
      <w:pStyle w:val="Footer"/>
    </w:pPr>
    <w:r w:rsidRPr="0041428F">
      <w:rPr>
        <w:noProof/>
      </w:rPr>
      <mc:AlternateContent>
        <mc:Choice Requires="wpg">
          <w:drawing>
            <wp:anchor distT="0" distB="0" distL="114300" distR="114300" simplePos="0" relativeHeight="251657216" behindDoc="1" locked="0" layoutInCell="1" allowOverlap="1" wp14:anchorId="0228AE60" wp14:editId="6DB645FB">
              <wp:simplePos x="0" y="0"/>
              <wp:positionH relativeFrom="column">
                <wp:posOffset>-1381125</wp:posOffset>
              </wp:positionH>
              <wp:positionV relativeFrom="paragraph">
                <wp:posOffset>-1438275</wp:posOffset>
              </wp:positionV>
              <wp:extent cx="8248650" cy="2591435"/>
              <wp:effectExtent l="0" t="0" r="0" b="0"/>
              <wp:wrapNone/>
              <wp:docPr id="12" name="Graphic 17" descr="Curved accent shapes that collectively build the header design"/>
              <wp:cNvGraphicFramePr/>
              <a:graphic xmlns:a="http://schemas.openxmlformats.org/drawingml/2006/main">
                <a:graphicData uri="http://schemas.microsoft.com/office/word/2010/wordprocessingGroup">
                  <wpg:wgp>
                    <wpg:cNvGrpSpPr/>
                    <wpg:grpSpPr>
                      <a:xfrm rot="10800000">
                        <a:off x="0" y="0"/>
                        <a:ext cx="8248650" cy="2591435"/>
                        <a:chOff x="-7144" y="-7144"/>
                        <a:chExt cx="6005513" cy="1924050"/>
                      </a:xfrm>
                    </wpg:grpSpPr>
                    <wps:wsp>
                      <wps:cNvPr id="13" name="Freeform: Shape 13"/>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1">
                            <a:lumMod val="40000"/>
                            <a:lumOff val="6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lumMod val="7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accent1">
                            <a:lumMod val="60000"/>
                            <a:lumOff val="4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Shape 16"/>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0C53BA" id="Graphic 17" o:spid="_x0000_s1026" alt="Curved accent shapes that collectively build the header design" style="position:absolute;margin-left:-108.75pt;margin-top:-113.25pt;width:649.5pt;height:204.05pt;rotation:180;z-index:-251659264;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">
              <v:shape id="Freeform: Shape 13"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" path="m3869531,1359694v,,-489585,474345,-1509712,384810c1339691,1654969,936784,1180624,7144,1287304l7144,7144r3862387,l3869531,1359694xe" fillcolor="#b4c6e7 [1300]" stroked="f">
                <v:stroke joinstyle="miter"/>
                <v:path arrowok="t" o:connecttype="custom" o:connectlocs="3869531,1359694;2359819,1744504;7144,1287304;7144,7144;3869531,7144;3869531,1359694" o:connectangles="0,0,0,0,0,0"/>
              </v:shape>
              <v:shape id="Freeform: Shape 14"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" path="m7144,1699736v,,1403032,618173,2927032,-215265c4459129,651986,5998369,893921,5998369,893921r,-886777l7144,7144r,1692592xe" fillcolor="#2f5496 [2404]" stroked="f">
                <v:stroke joinstyle="miter"/>
                <v:path arrowok="t" o:connecttype="custom" o:connectlocs="7144,1699736;2934176,1484471;5998369,893921;5998369,7144;7144,7144;7144,1699736" o:connectangles="0,0,0,0,0,0"/>
              </v:shape>
              <v:shape id="Freeform: Shape 15"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" path="m7144,7144r,606742c647224,1034891,2136934,964406,3546634,574834,4882039,205264,5998369,893921,5998369,893921r,-886777l7144,7144xe" fillcolor="#8eaadb [1940]" stroked="f">
                <v:stroke joinstyle="miter"/>
                <v:path arrowok="t" o:connecttype="custom" o:connectlocs="7144,7144;7144,613886;3546634,574834;5998369,893921;5998369,7144;7144,7144" o:connectangles="0,0,0,0,0,0"/>
              </v:shape>
              <v:shape id="Freeform: Shape 16"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" path="m7144,481489c380524,602456,751999,764381,1305401,812959,2325529,902494,2815114,428149,2815114,428149r,-421005c2332196,236696,1376839,568166,7144,481489xe" fillcolor="#4472c4 [3204]" stroked="f">
                <v:stroke joinstyle="miter"/>
                <v:path arrowok="t" o:connecttype="custom" o:connectlocs="7144,481489;1305401,812959;2815114,428149;2815114,7144;7144,481489" o:connectangles="0,0,0,0,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28B81" w14:textId="77777777" w:rsidR="008D6238" w:rsidRDefault="008D6238" w:rsidP="007E04AB">
      <w:r>
        <w:separator/>
      </w:r>
    </w:p>
  </w:footnote>
  <w:footnote w:type="continuationSeparator" w:id="0">
    <w:p w14:paraId="71FCCB7D" w14:textId="77777777" w:rsidR="008D6238" w:rsidRDefault="008D6238" w:rsidP="007E0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71C2" w14:textId="77777777" w:rsidR="00B15F00" w:rsidRDefault="00B15F00" w:rsidP="00394A15">
    <w:pPr>
      <w:pBdr>
        <w:top w:val="nil"/>
        <w:left w:val="nil"/>
        <w:bottom w:val="nil"/>
        <w:right w:val="nil"/>
        <w:between w:val="nil"/>
      </w:pBdr>
      <w:tabs>
        <w:tab w:val="center" w:pos="4513"/>
        <w:tab w:val="right" w:pos="9026"/>
      </w:tabs>
      <w:ind w:hanging="2"/>
      <w:jc w:val="center"/>
      <w:rPr>
        <w:rFonts w:asciiTheme="majorHAnsi" w:eastAsia="Gill Sans" w:hAnsiTheme="majorHAnsi" w:cstheme="majorHAnsi"/>
        <w:color w:val="7030A0"/>
        <w:sz w:val="16"/>
        <w:szCs w:val="16"/>
      </w:rPr>
    </w:pPr>
  </w:p>
  <w:p w14:paraId="354F157D" w14:textId="77777777" w:rsidR="00B15F00" w:rsidRPr="00DA4EDE" w:rsidRDefault="00B15F00" w:rsidP="00394A15">
    <w:pPr>
      <w:pBdr>
        <w:top w:val="nil"/>
        <w:left w:val="nil"/>
        <w:bottom w:val="nil"/>
        <w:right w:val="nil"/>
        <w:between w:val="nil"/>
      </w:pBdr>
      <w:tabs>
        <w:tab w:val="center" w:pos="4513"/>
        <w:tab w:val="right" w:pos="9026"/>
      </w:tabs>
      <w:ind w:hanging="2"/>
      <w:jc w:val="right"/>
      <w:rPr>
        <w:rFonts w:asciiTheme="majorHAnsi" w:eastAsia="Gill Sans" w:hAnsiTheme="majorHAnsi" w:cstheme="majorHAnsi"/>
        <w:color w:val="7030A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AE24" w14:textId="77777777" w:rsidR="00B15F00" w:rsidRDefault="00B15F00" w:rsidP="008D7029">
    <w:pPr>
      <w:pStyle w:val="Header"/>
      <w:tabs>
        <w:tab w:val="clear" w:pos="4513"/>
        <w:tab w:val="clear" w:pos="9026"/>
        <w:tab w:val="left" w:pos="2550"/>
      </w:tabs>
    </w:pPr>
    <w:r w:rsidRPr="0041428F">
      <w:rPr>
        <w:noProof/>
      </w:rPr>
      <mc:AlternateContent>
        <mc:Choice Requires="wpg">
          <w:drawing>
            <wp:anchor distT="0" distB="0" distL="114300" distR="114300" simplePos="0" relativeHeight="251659264" behindDoc="1" locked="0" layoutInCell="1" allowOverlap="1" wp14:anchorId="4DC3975B" wp14:editId="6392648F">
              <wp:simplePos x="0" y="0"/>
              <wp:positionH relativeFrom="margin">
                <wp:align>center</wp:align>
              </wp:positionH>
              <wp:positionV relativeFrom="paragraph">
                <wp:posOffset>-448310</wp:posOffset>
              </wp:positionV>
              <wp:extent cx="8248650" cy="3030070"/>
              <wp:effectExtent l="0" t="0" r="0" b="0"/>
              <wp:wrapNone/>
              <wp:docPr id="10"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3030070"/>
                        <a:chOff x="-7144" y="-7144"/>
                        <a:chExt cx="6005513" cy="1924050"/>
                      </a:xfrm>
                    </wpg:grpSpPr>
                    <wps:wsp>
                      <wps:cNvPr id="11" name="Freeform: Shape 11"/>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1">
                            <a:lumMod val="40000"/>
                            <a:lumOff val="6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chemeClr val="accent1">
                            <a:lumMod val="50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chemeClr val="accent1">
                            <a:lumMod val="75000"/>
                          </a:scheme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40E9D0" id="Graphic 17" o:spid="_x0000_s1026" alt="Curved accent shapes that collectively build the header design" style="position:absolute;margin-left:0;margin-top:-35.3pt;width:649.5pt;height:238.6pt;z-index:-251657216;mso-position-horizontal:center;mso-position-horizontal-relative:margin;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">
              <v:shape id="Freeform: Shape 11"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" path="m3869531,1359694v,,-489585,474345,-1509712,384810c1339691,1654969,936784,1180624,7144,1287304l7144,7144r3862387,l3869531,1359694xe" fillcolor="#b4c6e7 [1300]" stroked="f">
                <v:stroke joinstyle="miter"/>
                <v:path arrowok="t" o:connecttype="custom" o:connectlocs="3869531,1359694;2359819,1744504;7144,1287304;7144,7144;3869531,7144;3869531,1359694" o:connectangles="0,0,0,0,0,0"/>
              </v:shape>
              <v:shape id="Freeform: Shape 17"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" path="m7144,1699736v,,1403032,618173,2927032,-215265c4459129,651986,5998369,893921,5998369,893921r,-886777l7144,7144r,1692592xe" fillcolor="#4472c4 [3204]" stroked="f">
                <v:stroke joinstyle="miter"/>
                <v:path arrowok="t" o:connecttype="custom" o:connectlocs="7144,1699736;2934176,1484471;5998369,893921;5998369,7144;7144,7144;7144,1699736" o:connectangles="0,0,0,0,0,0"/>
              </v:shape>
              <v:shape id="Freeform: Shape 18"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" path="m7144,7144r,606742c647224,1034891,2136934,964406,3546634,574834,4882039,205264,5998369,893921,5998369,893921r,-886777l7144,7144xe" fillcolor="#1f3763 [1604]" stroked="f">
                <v:stroke joinstyle="miter"/>
                <v:path arrowok="t" o:connecttype="custom" o:connectlocs="7144,7144;7144,613886;3546634,574834;5998369,893921;5998369,7144;7144,7144" o:connectangles="0,0,0,0,0,0"/>
              </v:shape>
              <v:shape id="Freeform: Shape 19"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" path="m7144,481489c380524,602456,751999,764381,1305401,812959,2325529,902494,2815114,428149,2815114,428149r,-421005c2332196,236696,1376839,568166,7144,481489xe" fillcolor="#2f5496 [2404]" stroked="f">
                <v:stroke joinstyle="miter"/>
                <v:path arrowok="t" o:connecttype="custom" o:connectlocs="7144,481489;1305401,812959;2815114,428149;2815114,7144;7144,481489" o:connectangles="0,0,0,0,0"/>
              </v:shape>
              <w10:wrap anchorx="margin"/>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EB6E"/>
      </v:shape>
    </w:pict>
  </w:numPicBullet>
  <w:abstractNum w:abstractNumId="0" w15:restartNumberingAfterBreak="0">
    <w:nsid w:val="03341ED5"/>
    <w:multiLevelType w:val="hybridMultilevel"/>
    <w:tmpl w:val="1BC80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C003F"/>
    <w:multiLevelType w:val="hybridMultilevel"/>
    <w:tmpl w:val="1CDEB9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07825"/>
    <w:multiLevelType w:val="hybridMultilevel"/>
    <w:tmpl w:val="E6E695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8407A3"/>
    <w:multiLevelType w:val="hybridMultilevel"/>
    <w:tmpl w:val="DF4E3FA0"/>
    <w:lvl w:ilvl="0" w:tplc="EAA42B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36223"/>
    <w:multiLevelType w:val="multilevel"/>
    <w:tmpl w:val="494A3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A6D85"/>
    <w:multiLevelType w:val="hybridMultilevel"/>
    <w:tmpl w:val="F4D8C666"/>
    <w:lvl w:ilvl="0" w:tplc="0809000B">
      <w:start w:val="1"/>
      <w:numFmt w:val="bullet"/>
      <w:lvlText w:val=""/>
      <w:lvlJc w:val="left"/>
      <w:pPr>
        <w:ind w:left="1146" w:hanging="360"/>
      </w:pPr>
      <w:rPr>
        <w:rFonts w:ascii="Wingdings" w:hAnsi="Wingdings" w:hint="default"/>
      </w:rPr>
    </w:lvl>
    <w:lvl w:ilvl="1" w:tplc="0809000B">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6" w15:restartNumberingAfterBreak="0">
    <w:nsid w:val="169C0B9B"/>
    <w:multiLevelType w:val="hybridMultilevel"/>
    <w:tmpl w:val="BA46C124"/>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7" w15:restartNumberingAfterBreak="0">
    <w:nsid w:val="1DF909B6"/>
    <w:multiLevelType w:val="hybridMultilevel"/>
    <w:tmpl w:val="53FC76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65F80"/>
    <w:multiLevelType w:val="hybridMultilevel"/>
    <w:tmpl w:val="E2E8876E"/>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9" w15:restartNumberingAfterBreak="0">
    <w:nsid w:val="24F8766F"/>
    <w:multiLevelType w:val="hybridMultilevel"/>
    <w:tmpl w:val="BE8697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2501A"/>
    <w:multiLevelType w:val="hybridMultilevel"/>
    <w:tmpl w:val="86AE2286"/>
    <w:lvl w:ilvl="0" w:tplc="F8104476">
      <w:start w:val="1"/>
      <w:numFmt w:val="bullet"/>
      <w:lvlText w:val="•"/>
      <w:lvlJc w:val="left"/>
      <w:pPr>
        <w:tabs>
          <w:tab w:val="num" w:pos="720"/>
        </w:tabs>
        <w:ind w:left="720" w:hanging="360"/>
      </w:pPr>
      <w:rPr>
        <w:rFonts w:ascii="Times New Roman" w:hAnsi="Times New Roman" w:hint="default"/>
      </w:rPr>
    </w:lvl>
    <w:lvl w:ilvl="1" w:tplc="E5C20AF4" w:tentative="1">
      <w:start w:val="1"/>
      <w:numFmt w:val="bullet"/>
      <w:lvlText w:val="•"/>
      <w:lvlJc w:val="left"/>
      <w:pPr>
        <w:tabs>
          <w:tab w:val="num" w:pos="1440"/>
        </w:tabs>
        <w:ind w:left="1440" w:hanging="360"/>
      </w:pPr>
      <w:rPr>
        <w:rFonts w:ascii="Times New Roman" w:hAnsi="Times New Roman" w:hint="default"/>
      </w:rPr>
    </w:lvl>
    <w:lvl w:ilvl="2" w:tplc="B81A70C4" w:tentative="1">
      <w:start w:val="1"/>
      <w:numFmt w:val="bullet"/>
      <w:lvlText w:val="•"/>
      <w:lvlJc w:val="left"/>
      <w:pPr>
        <w:tabs>
          <w:tab w:val="num" w:pos="2160"/>
        </w:tabs>
        <w:ind w:left="2160" w:hanging="360"/>
      </w:pPr>
      <w:rPr>
        <w:rFonts w:ascii="Times New Roman" w:hAnsi="Times New Roman" w:hint="default"/>
      </w:rPr>
    </w:lvl>
    <w:lvl w:ilvl="3" w:tplc="9C6A1344" w:tentative="1">
      <w:start w:val="1"/>
      <w:numFmt w:val="bullet"/>
      <w:lvlText w:val="•"/>
      <w:lvlJc w:val="left"/>
      <w:pPr>
        <w:tabs>
          <w:tab w:val="num" w:pos="2880"/>
        </w:tabs>
        <w:ind w:left="2880" w:hanging="360"/>
      </w:pPr>
      <w:rPr>
        <w:rFonts w:ascii="Times New Roman" w:hAnsi="Times New Roman" w:hint="default"/>
      </w:rPr>
    </w:lvl>
    <w:lvl w:ilvl="4" w:tplc="8700AAFE" w:tentative="1">
      <w:start w:val="1"/>
      <w:numFmt w:val="bullet"/>
      <w:lvlText w:val="•"/>
      <w:lvlJc w:val="left"/>
      <w:pPr>
        <w:tabs>
          <w:tab w:val="num" w:pos="3600"/>
        </w:tabs>
        <w:ind w:left="3600" w:hanging="360"/>
      </w:pPr>
      <w:rPr>
        <w:rFonts w:ascii="Times New Roman" w:hAnsi="Times New Roman" w:hint="default"/>
      </w:rPr>
    </w:lvl>
    <w:lvl w:ilvl="5" w:tplc="3F8AE292" w:tentative="1">
      <w:start w:val="1"/>
      <w:numFmt w:val="bullet"/>
      <w:lvlText w:val="•"/>
      <w:lvlJc w:val="left"/>
      <w:pPr>
        <w:tabs>
          <w:tab w:val="num" w:pos="4320"/>
        </w:tabs>
        <w:ind w:left="4320" w:hanging="360"/>
      </w:pPr>
      <w:rPr>
        <w:rFonts w:ascii="Times New Roman" w:hAnsi="Times New Roman" w:hint="default"/>
      </w:rPr>
    </w:lvl>
    <w:lvl w:ilvl="6" w:tplc="7D78C20E" w:tentative="1">
      <w:start w:val="1"/>
      <w:numFmt w:val="bullet"/>
      <w:lvlText w:val="•"/>
      <w:lvlJc w:val="left"/>
      <w:pPr>
        <w:tabs>
          <w:tab w:val="num" w:pos="5040"/>
        </w:tabs>
        <w:ind w:left="5040" w:hanging="360"/>
      </w:pPr>
      <w:rPr>
        <w:rFonts w:ascii="Times New Roman" w:hAnsi="Times New Roman" w:hint="default"/>
      </w:rPr>
    </w:lvl>
    <w:lvl w:ilvl="7" w:tplc="4FB40A92" w:tentative="1">
      <w:start w:val="1"/>
      <w:numFmt w:val="bullet"/>
      <w:lvlText w:val="•"/>
      <w:lvlJc w:val="left"/>
      <w:pPr>
        <w:tabs>
          <w:tab w:val="num" w:pos="5760"/>
        </w:tabs>
        <w:ind w:left="5760" w:hanging="360"/>
      </w:pPr>
      <w:rPr>
        <w:rFonts w:ascii="Times New Roman" w:hAnsi="Times New Roman" w:hint="default"/>
      </w:rPr>
    </w:lvl>
    <w:lvl w:ilvl="8" w:tplc="EAEAB38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3B094E"/>
    <w:multiLevelType w:val="hybridMultilevel"/>
    <w:tmpl w:val="2C16A8D4"/>
    <w:lvl w:ilvl="0" w:tplc="651EBCC8">
      <w:start w:val="1"/>
      <w:numFmt w:val="lowerRoman"/>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1056C"/>
    <w:multiLevelType w:val="hybridMultilevel"/>
    <w:tmpl w:val="543AC93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3688C"/>
    <w:multiLevelType w:val="hybridMultilevel"/>
    <w:tmpl w:val="287A3280"/>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4" w15:restartNumberingAfterBreak="0">
    <w:nsid w:val="37171EAF"/>
    <w:multiLevelType w:val="hybridMultilevel"/>
    <w:tmpl w:val="9AECD58A"/>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5" w15:restartNumberingAfterBreak="0">
    <w:nsid w:val="3B973D13"/>
    <w:multiLevelType w:val="multilevel"/>
    <w:tmpl w:val="7A7C6E82"/>
    <w:lvl w:ilvl="0">
      <w:start w:val="1"/>
      <w:numFmt w:val="bullet"/>
      <w:pStyle w:val="Bullets"/>
      <w:lvlText w:val=""/>
      <w:lvlJc w:val="left"/>
      <w:pPr>
        <w:ind w:left="717" w:hanging="360"/>
      </w:pPr>
      <w:rPr>
        <w:rFonts w:ascii="Symbol" w:hAnsi="Symbol" w:hint="default"/>
        <w:color w:val="000000" w:themeColor="text1"/>
        <w:sz w:val="24"/>
      </w:rPr>
    </w:lvl>
    <w:lvl w:ilvl="1">
      <w:start w:val="1"/>
      <w:numFmt w:val="bullet"/>
      <w:lvlText w:val="o"/>
      <w:lvlJc w:val="left"/>
      <w:pPr>
        <w:tabs>
          <w:tab w:val="num" w:pos="1440"/>
        </w:tabs>
        <w:ind w:left="1440" w:hanging="360"/>
      </w:pPr>
      <w:rPr>
        <w:rFonts w:ascii="Courier New" w:hAnsi="Courier New" w:hint="default"/>
        <w:color w:val="275792"/>
      </w:rPr>
    </w:lvl>
    <w:lvl w:ilvl="2">
      <w:start w:val="1"/>
      <w:numFmt w:val="bullet"/>
      <w:lvlText w:val=""/>
      <w:lvlJc w:val="left"/>
      <w:pPr>
        <w:tabs>
          <w:tab w:val="num" w:pos="2160"/>
        </w:tabs>
        <w:ind w:left="2160" w:hanging="360"/>
      </w:pPr>
      <w:rPr>
        <w:rFonts w:ascii="Wingdings" w:hAnsi="Wingdings" w:hint="default"/>
        <w:color w:val="44546A" w:themeColor="text2"/>
      </w:rPr>
    </w:lvl>
    <w:lvl w:ilvl="3">
      <w:start w:val="1"/>
      <w:numFmt w:val="bullet"/>
      <w:lvlText w:val=""/>
      <w:lvlJc w:val="left"/>
      <w:pPr>
        <w:tabs>
          <w:tab w:val="num" w:pos="2880"/>
        </w:tabs>
        <w:ind w:left="2880" w:hanging="360"/>
      </w:pPr>
      <w:rPr>
        <w:rFonts w:ascii="Wingdings" w:hAnsi="Wingdings" w:hint="default"/>
        <w:color w:val="27579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AD317F"/>
    <w:multiLevelType w:val="hybridMultilevel"/>
    <w:tmpl w:val="2E32BF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F065A"/>
    <w:multiLevelType w:val="hybridMultilevel"/>
    <w:tmpl w:val="937C7940"/>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18" w15:restartNumberingAfterBreak="0">
    <w:nsid w:val="426E26D3"/>
    <w:multiLevelType w:val="hybridMultilevel"/>
    <w:tmpl w:val="4E32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715264A"/>
    <w:multiLevelType w:val="hybridMultilevel"/>
    <w:tmpl w:val="0A7E076E"/>
    <w:lvl w:ilvl="0" w:tplc="0809001B">
      <w:start w:val="1"/>
      <w:numFmt w:val="lowerRoman"/>
      <w:lvlText w:val="%1."/>
      <w:lvlJc w:val="right"/>
      <w:pPr>
        <w:ind w:left="720" w:hanging="360"/>
      </w:pPr>
    </w:lvl>
    <w:lvl w:ilvl="1" w:tplc="651EBCC8">
      <w:start w:val="1"/>
      <w:numFmt w:val="lowerRoman"/>
      <w:lvlText w:val="(%2)"/>
      <w:lvlJc w:val="left"/>
      <w:pPr>
        <w:ind w:left="1800" w:hanging="720"/>
      </w:pPr>
      <w:rPr>
        <w:rFonts w:eastAsia="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33173E"/>
    <w:multiLevelType w:val="hybridMultilevel"/>
    <w:tmpl w:val="997CDA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A735D2A"/>
    <w:multiLevelType w:val="hybridMultilevel"/>
    <w:tmpl w:val="DC48521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E34FE"/>
    <w:multiLevelType w:val="hybridMultilevel"/>
    <w:tmpl w:val="40CC5A26"/>
    <w:lvl w:ilvl="0" w:tplc="9842C16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AF6349"/>
    <w:multiLevelType w:val="hybridMultilevel"/>
    <w:tmpl w:val="85DA5AFC"/>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5088285C"/>
    <w:multiLevelType w:val="multilevel"/>
    <w:tmpl w:val="08CE2D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352630"/>
    <w:multiLevelType w:val="hybridMultilevel"/>
    <w:tmpl w:val="C88C3CFE"/>
    <w:lvl w:ilvl="0" w:tplc="74E881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3A3F85"/>
    <w:multiLevelType w:val="hybridMultilevel"/>
    <w:tmpl w:val="9A984A4E"/>
    <w:lvl w:ilvl="0" w:tplc="0809000B">
      <w:start w:val="1"/>
      <w:numFmt w:val="bullet"/>
      <w:lvlText w:val=""/>
      <w:lvlJc w:val="left"/>
      <w:pPr>
        <w:ind w:left="720" w:hanging="360"/>
      </w:pPr>
      <w:rPr>
        <w:rFonts w:ascii="Wingdings" w:hAnsi="Wingdings" w:hint="default"/>
      </w:rPr>
    </w:lvl>
    <w:lvl w:ilvl="1" w:tplc="041D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3925CE"/>
    <w:multiLevelType w:val="hybridMultilevel"/>
    <w:tmpl w:val="1A3CB0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EF0361"/>
    <w:multiLevelType w:val="hybridMultilevel"/>
    <w:tmpl w:val="91AE66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F12676"/>
    <w:multiLevelType w:val="multilevel"/>
    <w:tmpl w:val="5290B7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B157D1"/>
    <w:multiLevelType w:val="hybridMultilevel"/>
    <w:tmpl w:val="62CA3C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AD1A1A"/>
    <w:multiLevelType w:val="hybridMultilevel"/>
    <w:tmpl w:val="255EDD1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32" w15:restartNumberingAfterBreak="0">
    <w:nsid w:val="66F8021C"/>
    <w:multiLevelType w:val="hybridMultilevel"/>
    <w:tmpl w:val="3036D7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7BC6F3D"/>
    <w:multiLevelType w:val="hybridMultilevel"/>
    <w:tmpl w:val="AB08D63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5D1864"/>
    <w:multiLevelType w:val="hybridMultilevel"/>
    <w:tmpl w:val="DECA6B7E"/>
    <w:lvl w:ilvl="0" w:tplc="8B8AB75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07D45B1"/>
    <w:multiLevelType w:val="hybridMultilevel"/>
    <w:tmpl w:val="D9C864C0"/>
    <w:lvl w:ilvl="0" w:tplc="9CFE371C">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D2649"/>
    <w:multiLevelType w:val="hybridMultilevel"/>
    <w:tmpl w:val="F61E93C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num w:numId="1">
    <w:abstractNumId w:val="15"/>
  </w:num>
  <w:num w:numId="2">
    <w:abstractNumId w:val="26"/>
  </w:num>
  <w:num w:numId="3">
    <w:abstractNumId w:val="7"/>
  </w:num>
  <w:num w:numId="4">
    <w:abstractNumId w:val="35"/>
  </w:num>
  <w:num w:numId="5">
    <w:abstractNumId w:val="30"/>
  </w:num>
  <w:num w:numId="6">
    <w:abstractNumId w:val="16"/>
  </w:num>
  <w:num w:numId="7">
    <w:abstractNumId w:val="1"/>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7"/>
  </w:num>
  <w:num w:numId="12">
    <w:abstractNumId w:val="32"/>
  </w:num>
  <w:num w:numId="13">
    <w:abstractNumId w:val="18"/>
  </w:num>
  <w:num w:numId="14">
    <w:abstractNumId w:val="24"/>
  </w:num>
  <w:num w:numId="15">
    <w:abstractNumId w:val="2"/>
  </w:num>
  <w:num w:numId="16">
    <w:abstractNumId w:val="19"/>
  </w:num>
  <w:num w:numId="17">
    <w:abstractNumId w:val="36"/>
  </w:num>
  <w:num w:numId="18">
    <w:abstractNumId w:val="5"/>
  </w:num>
  <w:num w:numId="19">
    <w:abstractNumId w:val="8"/>
  </w:num>
  <w:num w:numId="20">
    <w:abstractNumId w:val="20"/>
  </w:num>
  <w:num w:numId="21">
    <w:abstractNumId w:val="13"/>
  </w:num>
  <w:num w:numId="22">
    <w:abstractNumId w:val="34"/>
  </w:num>
  <w:num w:numId="23">
    <w:abstractNumId w:val="29"/>
  </w:num>
  <w:num w:numId="24">
    <w:abstractNumId w:val="17"/>
  </w:num>
  <w:num w:numId="25">
    <w:abstractNumId w:val="23"/>
  </w:num>
  <w:num w:numId="26">
    <w:abstractNumId w:val="12"/>
  </w:num>
  <w:num w:numId="27">
    <w:abstractNumId w:val="33"/>
  </w:num>
  <w:num w:numId="28">
    <w:abstractNumId w:val="21"/>
  </w:num>
  <w:num w:numId="29">
    <w:abstractNumId w:val="11"/>
  </w:num>
  <w:num w:numId="30">
    <w:abstractNumId w:val="25"/>
  </w:num>
  <w:num w:numId="31">
    <w:abstractNumId w:val="6"/>
  </w:num>
  <w:num w:numId="32">
    <w:abstractNumId w:val="3"/>
  </w:num>
  <w:num w:numId="33">
    <w:abstractNumId w:val="22"/>
  </w:num>
  <w:num w:numId="34">
    <w:abstractNumId w:val="10"/>
  </w:num>
  <w:num w:numId="35">
    <w:abstractNumId w:val="28"/>
  </w:num>
  <w:num w:numId="36">
    <w:abstractNumId w:val="31"/>
  </w:num>
  <w:num w:numId="37">
    <w:abstractNumId w:val="14"/>
  </w:num>
  <w:num w:numId="3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proofState w:spelling="clean" w:grammar="clean"/>
  <w:doNotTrackFormatting/>
  <w:documentProtection w:edit="trackedChanges" w:enforcement="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CBB"/>
    <w:rsid w:val="000008B0"/>
    <w:rsid w:val="00001A04"/>
    <w:rsid w:val="00013D10"/>
    <w:rsid w:val="00013E39"/>
    <w:rsid w:val="00020309"/>
    <w:rsid w:val="0002101A"/>
    <w:rsid w:val="00023296"/>
    <w:rsid w:val="00031B2E"/>
    <w:rsid w:val="000322D6"/>
    <w:rsid w:val="00035356"/>
    <w:rsid w:val="000357B7"/>
    <w:rsid w:val="000406C7"/>
    <w:rsid w:val="000454DF"/>
    <w:rsid w:val="00045FA7"/>
    <w:rsid w:val="00047DD1"/>
    <w:rsid w:val="00053B99"/>
    <w:rsid w:val="00053EBF"/>
    <w:rsid w:val="00055DFE"/>
    <w:rsid w:val="00064487"/>
    <w:rsid w:val="000663A6"/>
    <w:rsid w:val="000677BA"/>
    <w:rsid w:val="000737BD"/>
    <w:rsid w:val="00073CE4"/>
    <w:rsid w:val="00080085"/>
    <w:rsid w:val="00080517"/>
    <w:rsid w:val="00080D57"/>
    <w:rsid w:val="00080D70"/>
    <w:rsid w:val="000938BD"/>
    <w:rsid w:val="00095887"/>
    <w:rsid w:val="000B4A15"/>
    <w:rsid w:val="000C391A"/>
    <w:rsid w:val="000C49D8"/>
    <w:rsid w:val="000C5DDF"/>
    <w:rsid w:val="000C7766"/>
    <w:rsid w:val="000D05FB"/>
    <w:rsid w:val="000D6939"/>
    <w:rsid w:val="000D7AC2"/>
    <w:rsid w:val="000E170A"/>
    <w:rsid w:val="000E660C"/>
    <w:rsid w:val="000F27F1"/>
    <w:rsid w:val="000F5BA7"/>
    <w:rsid w:val="000F6D1B"/>
    <w:rsid w:val="0010046E"/>
    <w:rsid w:val="00101E98"/>
    <w:rsid w:val="001026E5"/>
    <w:rsid w:val="00103AD6"/>
    <w:rsid w:val="0010557D"/>
    <w:rsid w:val="00122A65"/>
    <w:rsid w:val="0012687A"/>
    <w:rsid w:val="00127AC7"/>
    <w:rsid w:val="00130234"/>
    <w:rsid w:val="0013026B"/>
    <w:rsid w:val="001313E3"/>
    <w:rsid w:val="001372CF"/>
    <w:rsid w:val="00140B98"/>
    <w:rsid w:val="00144269"/>
    <w:rsid w:val="00144A5D"/>
    <w:rsid w:val="00145078"/>
    <w:rsid w:val="00151A68"/>
    <w:rsid w:val="0015544E"/>
    <w:rsid w:val="001616E0"/>
    <w:rsid w:val="0016652F"/>
    <w:rsid w:val="00166533"/>
    <w:rsid w:val="001669A4"/>
    <w:rsid w:val="00170761"/>
    <w:rsid w:val="00170D2C"/>
    <w:rsid w:val="001738DD"/>
    <w:rsid w:val="00176E35"/>
    <w:rsid w:val="00177CC8"/>
    <w:rsid w:val="00177D62"/>
    <w:rsid w:val="001834CD"/>
    <w:rsid w:val="00183C98"/>
    <w:rsid w:val="00184DAC"/>
    <w:rsid w:val="001864B0"/>
    <w:rsid w:val="00190325"/>
    <w:rsid w:val="00191AF7"/>
    <w:rsid w:val="00193A3B"/>
    <w:rsid w:val="00194717"/>
    <w:rsid w:val="00194B5F"/>
    <w:rsid w:val="001A120F"/>
    <w:rsid w:val="001A180F"/>
    <w:rsid w:val="001A251B"/>
    <w:rsid w:val="001A2711"/>
    <w:rsid w:val="001A74A8"/>
    <w:rsid w:val="001B53CB"/>
    <w:rsid w:val="001C2B11"/>
    <w:rsid w:val="001C50F5"/>
    <w:rsid w:val="001C6E27"/>
    <w:rsid w:val="001C6E89"/>
    <w:rsid w:val="001C71D7"/>
    <w:rsid w:val="001D2478"/>
    <w:rsid w:val="001D25B1"/>
    <w:rsid w:val="001D7D53"/>
    <w:rsid w:val="001E25F4"/>
    <w:rsid w:val="001E2834"/>
    <w:rsid w:val="001E58EB"/>
    <w:rsid w:val="001E72B1"/>
    <w:rsid w:val="001F07D7"/>
    <w:rsid w:val="001F0965"/>
    <w:rsid w:val="001F44F2"/>
    <w:rsid w:val="001F5FAB"/>
    <w:rsid w:val="00200D60"/>
    <w:rsid w:val="00202AA2"/>
    <w:rsid w:val="0020352C"/>
    <w:rsid w:val="002035CE"/>
    <w:rsid w:val="00207510"/>
    <w:rsid w:val="00210FB2"/>
    <w:rsid w:val="00214A8B"/>
    <w:rsid w:val="002160C1"/>
    <w:rsid w:val="00217344"/>
    <w:rsid w:val="00223A25"/>
    <w:rsid w:val="00235957"/>
    <w:rsid w:val="00241DFA"/>
    <w:rsid w:val="00243DF8"/>
    <w:rsid w:val="00247658"/>
    <w:rsid w:val="002506FF"/>
    <w:rsid w:val="00252E27"/>
    <w:rsid w:val="002566A9"/>
    <w:rsid w:val="0025786C"/>
    <w:rsid w:val="00260783"/>
    <w:rsid w:val="002616A2"/>
    <w:rsid w:val="00266153"/>
    <w:rsid w:val="00270493"/>
    <w:rsid w:val="00270EC5"/>
    <w:rsid w:val="00272324"/>
    <w:rsid w:val="00273EA9"/>
    <w:rsid w:val="00275B4C"/>
    <w:rsid w:val="0028344B"/>
    <w:rsid w:val="0028621B"/>
    <w:rsid w:val="00291FE3"/>
    <w:rsid w:val="00292647"/>
    <w:rsid w:val="00292BC1"/>
    <w:rsid w:val="00293BC4"/>
    <w:rsid w:val="002A0A37"/>
    <w:rsid w:val="002A21BF"/>
    <w:rsid w:val="002A2F10"/>
    <w:rsid w:val="002A6FB5"/>
    <w:rsid w:val="002A733A"/>
    <w:rsid w:val="002A7B71"/>
    <w:rsid w:val="002B3CAA"/>
    <w:rsid w:val="002B4886"/>
    <w:rsid w:val="002B4E2E"/>
    <w:rsid w:val="002C3CBB"/>
    <w:rsid w:val="002C54D5"/>
    <w:rsid w:val="002C5EA9"/>
    <w:rsid w:val="002C6807"/>
    <w:rsid w:val="002C6920"/>
    <w:rsid w:val="002C6FD9"/>
    <w:rsid w:val="002D0134"/>
    <w:rsid w:val="002D105E"/>
    <w:rsid w:val="002E0331"/>
    <w:rsid w:val="002E2A33"/>
    <w:rsid w:val="002E3C5F"/>
    <w:rsid w:val="002E4F73"/>
    <w:rsid w:val="002E5B0F"/>
    <w:rsid w:val="002E61E8"/>
    <w:rsid w:val="002F1CD2"/>
    <w:rsid w:val="002F5780"/>
    <w:rsid w:val="002F5973"/>
    <w:rsid w:val="002F713F"/>
    <w:rsid w:val="00330ADE"/>
    <w:rsid w:val="00335092"/>
    <w:rsid w:val="003463E6"/>
    <w:rsid w:val="00367BD1"/>
    <w:rsid w:val="00381371"/>
    <w:rsid w:val="00384DDC"/>
    <w:rsid w:val="0038568C"/>
    <w:rsid w:val="00390271"/>
    <w:rsid w:val="00390CA4"/>
    <w:rsid w:val="00394172"/>
    <w:rsid w:val="00394A15"/>
    <w:rsid w:val="00394AE4"/>
    <w:rsid w:val="00394DFC"/>
    <w:rsid w:val="00395F2C"/>
    <w:rsid w:val="00397958"/>
    <w:rsid w:val="003A0B7A"/>
    <w:rsid w:val="003A129A"/>
    <w:rsid w:val="003A4C87"/>
    <w:rsid w:val="003A6138"/>
    <w:rsid w:val="003B0824"/>
    <w:rsid w:val="003B0F58"/>
    <w:rsid w:val="003B37E8"/>
    <w:rsid w:val="003B59C3"/>
    <w:rsid w:val="003B7045"/>
    <w:rsid w:val="003C3184"/>
    <w:rsid w:val="003C3FD8"/>
    <w:rsid w:val="003C4DEC"/>
    <w:rsid w:val="003C5F07"/>
    <w:rsid w:val="003C7024"/>
    <w:rsid w:val="003D05F5"/>
    <w:rsid w:val="003D0691"/>
    <w:rsid w:val="003D2FA1"/>
    <w:rsid w:val="003D42C8"/>
    <w:rsid w:val="003E1962"/>
    <w:rsid w:val="003E2865"/>
    <w:rsid w:val="003E60F6"/>
    <w:rsid w:val="003F1CC0"/>
    <w:rsid w:val="003F4791"/>
    <w:rsid w:val="003F4E82"/>
    <w:rsid w:val="003F62B9"/>
    <w:rsid w:val="004006B1"/>
    <w:rsid w:val="00400FC4"/>
    <w:rsid w:val="00401F9A"/>
    <w:rsid w:val="00402DA0"/>
    <w:rsid w:val="00405E2D"/>
    <w:rsid w:val="00410927"/>
    <w:rsid w:val="00413831"/>
    <w:rsid w:val="00414692"/>
    <w:rsid w:val="00414C59"/>
    <w:rsid w:val="00420853"/>
    <w:rsid w:val="00422863"/>
    <w:rsid w:val="00422903"/>
    <w:rsid w:val="00431A5A"/>
    <w:rsid w:val="0043203F"/>
    <w:rsid w:val="00434450"/>
    <w:rsid w:val="00437D82"/>
    <w:rsid w:val="00442108"/>
    <w:rsid w:val="0044283F"/>
    <w:rsid w:val="004428E8"/>
    <w:rsid w:val="00445412"/>
    <w:rsid w:val="00450CD6"/>
    <w:rsid w:val="00451C5B"/>
    <w:rsid w:val="00452135"/>
    <w:rsid w:val="00454300"/>
    <w:rsid w:val="00456DF1"/>
    <w:rsid w:val="004618CE"/>
    <w:rsid w:val="00463027"/>
    <w:rsid w:val="00463A9A"/>
    <w:rsid w:val="00464A64"/>
    <w:rsid w:val="00466010"/>
    <w:rsid w:val="00466D53"/>
    <w:rsid w:val="004707CB"/>
    <w:rsid w:val="004733D3"/>
    <w:rsid w:val="00481CEB"/>
    <w:rsid w:val="0048411E"/>
    <w:rsid w:val="00492487"/>
    <w:rsid w:val="00493367"/>
    <w:rsid w:val="0049612B"/>
    <w:rsid w:val="004978C8"/>
    <w:rsid w:val="004A2909"/>
    <w:rsid w:val="004A6604"/>
    <w:rsid w:val="004B16FA"/>
    <w:rsid w:val="004B54A2"/>
    <w:rsid w:val="004B6D0C"/>
    <w:rsid w:val="004C1CCD"/>
    <w:rsid w:val="004C3A45"/>
    <w:rsid w:val="004D0C13"/>
    <w:rsid w:val="004D2621"/>
    <w:rsid w:val="004D3225"/>
    <w:rsid w:val="004D4415"/>
    <w:rsid w:val="004D7E36"/>
    <w:rsid w:val="004E318E"/>
    <w:rsid w:val="004E7014"/>
    <w:rsid w:val="004E7FCE"/>
    <w:rsid w:val="004F30DC"/>
    <w:rsid w:val="004F32D3"/>
    <w:rsid w:val="004F4361"/>
    <w:rsid w:val="004F5CB9"/>
    <w:rsid w:val="004F630C"/>
    <w:rsid w:val="004F7C1D"/>
    <w:rsid w:val="00500B66"/>
    <w:rsid w:val="00503EFF"/>
    <w:rsid w:val="005167FA"/>
    <w:rsid w:val="0052320C"/>
    <w:rsid w:val="00526DCD"/>
    <w:rsid w:val="0052748D"/>
    <w:rsid w:val="00527CC6"/>
    <w:rsid w:val="00527FB9"/>
    <w:rsid w:val="00536CF8"/>
    <w:rsid w:val="00537B70"/>
    <w:rsid w:val="00540FBC"/>
    <w:rsid w:val="0054194A"/>
    <w:rsid w:val="00541CA7"/>
    <w:rsid w:val="00550557"/>
    <w:rsid w:val="00551617"/>
    <w:rsid w:val="00554758"/>
    <w:rsid w:val="005568F0"/>
    <w:rsid w:val="00556EC4"/>
    <w:rsid w:val="005571EA"/>
    <w:rsid w:val="00560276"/>
    <w:rsid w:val="0056665D"/>
    <w:rsid w:val="00571B02"/>
    <w:rsid w:val="00572A6F"/>
    <w:rsid w:val="0058130E"/>
    <w:rsid w:val="00581D3C"/>
    <w:rsid w:val="005852ED"/>
    <w:rsid w:val="005871BD"/>
    <w:rsid w:val="0059044B"/>
    <w:rsid w:val="005929BA"/>
    <w:rsid w:val="00592E57"/>
    <w:rsid w:val="0059338E"/>
    <w:rsid w:val="00593B26"/>
    <w:rsid w:val="005940C9"/>
    <w:rsid w:val="005A2827"/>
    <w:rsid w:val="005A56E6"/>
    <w:rsid w:val="005A6805"/>
    <w:rsid w:val="005B3CAF"/>
    <w:rsid w:val="005C013D"/>
    <w:rsid w:val="005C08D9"/>
    <w:rsid w:val="005C314D"/>
    <w:rsid w:val="005C3D7E"/>
    <w:rsid w:val="005D022D"/>
    <w:rsid w:val="005D6A49"/>
    <w:rsid w:val="005D6D33"/>
    <w:rsid w:val="005E2D52"/>
    <w:rsid w:val="005E2FC8"/>
    <w:rsid w:val="005E3673"/>
    <w:rsid w:val="005E3EC1"/>
    <w:rsid w:val="005E5403"/>
    <w:rsid w:val="005E548E"/>
    <w:rsid w:val="005E5747"/>
    <w:rsid w:val="005F0826"/>
    <w:rsid w:val="005F1DE8"/>
    <w:rsid w:val="005F2604"/>
    <w:rsid w:val="005F34DF"/>
    <w:rsid w:val="00602471"/>
    <w:rsid w:val="00607914"/>
    <w:rsid w:val="00620627"/>
    <w:rsid w:val="00630302"/>
    <w:rsid w:val="00630894"/>
    <w:rsid w:val="0063528B"/>
    <w:rsid w:val="00636081"/>
    <w:rsid w:val="0063630A"/>
    <w:rsid w:val="006374FA"/>
    <w:rsid w:val="006407C6"/>
    <w:rsid w:val="00641506"/>
    <w:rsid w:val="006462F7"/>
    <w:rsid w:val="00651ECF"/>
    <w:rsid w:val="00653B85"/>
    <w:rsid w:val="006576E8"/>
    <w:rsid w:val="006619E6"/>
    <w:rsid w:val="00666FDB"/>
    <w:rsid w:val="00671007"/>
    <w:rsid w:val="00671562"/>
    <w:rsid w:val="0067699E"/>
    <w:rsid w:val="00676EA7"/>
    <w:rsid w:val="006868A7"/>
    <w:rsid w:val="0069067E"/>
    <w:rsid w:val="00692F90"/>
    <w:rsid w:val="00693690"/>
    <w:rsid w:val="00697163"/>
    <w:rsid w:val="006A0794"/>
    <w:rsid w:val="006A3D32"/>
    <w:rsid w:val="006A6B63"/>
    <w:rsid w:val="006A6EEA"/>
    <w:rsid w:val="006B0B72"/>
    <w:rsid w:val="006B18B7"/>
    <w:rsid w:val="006B281B"/>
    <w:rsid w:val="006B36A1"/>
    <w:rsid w:val="006B41E5"/>
    <w:rsid w:val="006C554F"/>
    <w:rsid w:val="006C64A6"/>
    <w:rsid w:val="006D23E3"/>
    <w:rsid w:val="006D35BE"/>
    <w:rsid w:val="006E2219"/>
    <w:rsid w:val="006E2845"/>
    <w:rsid w:val="006E46A3"/>
    <w:rsid w:val="006E63A5"/>
    <w:rsid w:val="006E7EB3"/>
    <w:rsid w:val="006F1FC2"/>
    <w:rsid w:val="006F29B6"/>
    <w:rsid w:val="006F3123"/>
    <w:rsid w:val="006F4497"/>
    <w:rsid w:val="006F614D"/>
    <w:rsid w:val="006F661F"/>
    <w:rsid w:val="006F6875"/>
    <w:rsid w:val="007008DD"/>
    <w:rsid w:val="00706BC0"/>
    <w:rsid w:val="007073D1"/>
    <w:rsid w:val="00710EAC"/>
    <w:rsid w:val="00710F59"/>
    <w:rsid w:val="00713246"/>
    <w:rsid w:val="00714305"/>
    <w:rsid w:val="00714638"/>
    <w:rsid w:val="00716421"/>
    <w:rsid w:val="00717EC3"/>
    <w:rsid w:val="00720DCC"/>
    <w:rsid w:val="0072143A"/>
    <w:rsid w:val="0073174B"/>
    <w:rsid w:val="00732011"/>
    <w:rsid w:val="007332DD"/>
    <w:rsid w:val="00733FFE"/>
    <w:rsid w:val="007343D8"/>
    <w:rsid w:val="007432A5"/>
    <w:rsid w:val="00746A2E"/>
    <w:rsid w:val="007504F8"/>
    <w:rsid w:val="00750F71"/>
    <w:rsid w:val="00752761"/>
    <w:rsid w:val="0075385D"/>
    <w:rsid w:val="00754AA2"/>
    <w:rsid w:val="00754B71"/>
    <w:rsid w:val="007551BB"/>
    <w:rsid w:val="00757123"/>
    <w:rsid w:val="00760188"/>
    <w:rsid w:val="00761345"/>
    <w:rsid w:val="0076161B"/>
    <w:rsid w:val="007669CF"/>
    <w:rsid w:val="007677F3"/>
    <w:rsid w:val="00770273"/>
    <w:rsid w:val="00773B84"/>
    <w:rsid w:val="007763CA"/>
    <w:rsid w:val="00777E14"/>
    <w:rsid w:val="00781AB2"/>
    <w:rsid w:val="00783B51"/>
    <w:rsid w:val="0078582E"/>
    <w:rsid w:val="00787F84"/>
    <w:rsid w:val="0079165A"/>
    <w:rsid w:val="00796648"/>
    <w:rsid w:val="007A7D59"/>
    <w:rsid w:val="007B03E6"/>
    <w:rsid w:val="007B5901"/>
    <w:rsid w:val="007B6C0B"/>
    <w:rsid w:val="007E04AB"/>
    <w:rsid w:val="007E5008"/>
    <w:rsid w:val="007F0200"/>
    <w:rsid w:val="007F1182"/>
    <w:rsid w:val="007F448C"/>
    <w:rsid w:val="007F48D7"/>
    <w:rsid w:val="0080630E"/>
    <w:rsid w:val="0081477D"/>
    <w:rsid w:val="00814835"/>
    <w:rsid w:val="00817120"/>
    <w:rsid w:val="0081783C"/>
    <w:rsid w:val="00820696"/>
    <w:rsid w:val="008226AB"/>
    <w:rsid w:val="00827AFF"/>
    <w:rsid w:val="00830994"/>
    <w:rsid w:val="00831599"/>
    <w:rsid w:val="00835531"/>
    <w:rsid w:val="0084074B"/>
    <w:rsid w:val="00842727"/>
    <w:rsid w:val="0084498C"/>
    <w:rsid w:val="00845221"/>
    <w:rsid w:val="0084609C"/>
    <w:rsid w:val="00846AD2"/>
    <w:rsid w:val="00847FBE"/>
    <w:rsid w:val="00853EC4"/>
    <w:rsid w:val="008552BC"/>
    <w:rsid w:val="0085594A"/>
    <w:rsid w:val="00862980"/>
    <w:rsid w:val="008809B8"/>
    <w:rsid w:val="00880F9A"/>
    <w:rsid w:val="0088129A"/>
    <w:rsid w:val="0088497E"/>
    <w:rsid w:val="00890761"/>
    <w:rsid w:val="008916BD"/>
    <w:rsid w:val="00892109"/>
    <w:rsid w:val="008937E1"/>
    <w:rsid w:val="00893F7C"/>
    <w:rsid w:val="00896724"/>
    <w:rsid w:val="00896CA0"/>
    <w:rsid w:val="00897FE9"/>
    <w:rsid w:val="008A041C"/>
    <w:rsid w:val="008A2CDE"/>
    <w:rsid w:val="008A6538"/>
    <w:rsid w:val="008A7838"/>
    <w:rsid w:val="008B0F48"/>
    <w:rsid w:val="008B45E6"/>
    <w:rsid w:val="008C3E2F"/>
    <w:rsid w:val="008C5C9A"/>
    <w:rsid w:val="008C7750"/>
    <w:rsid w:val="008D14C5"/>
    <w:rsid w:val="008D1D83"/>
    <w:rsid w:val="008D1E72"/>
    <w:rsid w:val="008D6238"/>
    <w:rsid w:val="008D7029"/>
    <w:rsid w:val="008E093E"/>
    <w:rsid w:val="008E17B8"/>
    <w:rsid w:val="008E2F09"/>
    <w:rsid w:val="008E436C"/>
    <w:rsid w:val="008E62C0"/>
    <w:rsid w:val="008F2E5F"/>
    <w:rsid w:val="008F4015"/>
    <w:rsid w:val="009000C9"/>
    <w:rsid w:val="00903FFE"/>
    <w:rsid w:val="009122C5"/>
    <w:rsid w:val="00912933"/>
    <w:rsid w:val="00922DB1"/>
    <w:rsid w:val="009237F2"/>
    <w:rsid w:val="0092397C"/>
    <w:rsid w:val="00924824"/>
    <w:rsid w:val="00930952"/>
    <w:rsid w:val="00937F8E"/>
    <w:rsid w:val="00941646"/>
    <w:rsid w:val="00943630"/>
    <w:rsid w:val="00947148"/>
    <w:rsid w:val="00954379"/>
    <w:rsid w:val="0095545E"/>
    <w:rsid w:val="00960DE9"/>
    <w:rsid w:val="009646DF"/>
    <w:rsid w:val="00971F09"/>
    <w:rsid w:val="00975202"/>
    <w:rsid w:val="00975668"/>
    <w:rsid w:val="00985BCF"/>
    <w:rsid w:val="00990DF1"/>
    <w:rsid w:val="009A2545"/>
    <w:rsid w:val="009A6B65"/>
    <w:rsid w:val="009B2CFE"/>
    <w:rsid w:val="009D194A"/>
    <w:rsid w:val="009D2A47"/>
    <w:rsid w:val="009D2A82"/>
    <w:rsid w:val="009D31F6"/>
    <w:rsid w:val="009D5CCD"/>
    <w:rsid w:val="009D65C6"/>
    <w:rsid w:val="009E0919"/>
    <w:rsid w:val="009E1B77"/>
    <w:rsid w:val="009E3D18"/>
    <w:rsid w:val="009F3707"/>
    <w:rsid w:val="009F59A2"/>
    <w:rsid w:val="009F60F7"/>
    <w:rsid w:val="00A005BD"/>
    <w:rsid w:val="00A00F2C"/>
    <w:rsid w:val="00A0228F"/>
    <w:rsid w:val="00A04D96"/>
    <w:rsid w:val="00A06AF3"/>
    <w:rsid w:val="00A10844"/>
    <w:rsid w:val="00A11DFA"/>
    <w:rsid w:val="00A14510"/>
    <w:rsid w:val="00A14B2A"/>
    <w:rsid w:val="00A152F7"/>
    <w:rsid w:val="00A17280"/>
    <w:rsid w:val="00A20408"/>
    <w:rsid w:val="00A2080B"/>
    <w:rsid w:val="00A22903"/>
    <w:rsid w:val="00A23FD0"/>
    <w:rsid w:val="00A27FE6"/>
    <w:rsid w:val="00A32B92"/>
    <w:rsid w:val="00A41126"/>
    <w:rsid w:val="00A41F40"/>
    <w:rsid w:val="00A420FC"/>
    <w:rsid w:val="00A60B7C"/>
    <w:rsid w:val="00A668F2"/>
    <w:rsid w:val="00A67FEF"/>
    <w:rsid w:val="00A71072"/>
    <w:rsid w:val="00A766EE"/>
    <w:rsid w:val="00A77770"/>
    <w:rsid w:val="00A92765"/>
    <w:rsid w:val="00A934EE"/>
    <w:rsid w:val="00A94FA1"/>
    <w:rsid w:val="00A95BB4"/>
    <w:rsid w:val="00A95DD0"/>
    <w:rsid w:val="00AA08C2"/>
    <w:rsid w:val="00AA0CE4"/>
    <w:rsid w:val="00AA3754"/>
    <w:rsid w:val="00AA3B8A"/>
    <w:rsid w:val="00AB23D5"/>
    <w:rsid w:val="00AB2952"/>
    <w:rsid w:val="00AB568F"/>
    <w:rsid w:val="00AC29FF"/>
    <w:rsid w:val="00AC7492"/>
    <w:rsid w:val="00AD0D6F"/>
    <w:rsid w:val="00AD255C"/>
    <w:rsid w:val="00AD34BA"/>
    <w:rsid w:val="00AD543D"/>
    <w:rsid w:val="00AD68F7"/>
    <w:rsid w:val="00AE1B09"/>
    <w:rsid w:val="00AE5F86"/>
    <w:rsid w:val="00AE6B4E"/>
    <w:rsid w:val="00AF282F"/>
    <w:rsid w:val="00AF42DD"/>
    <w:rsid w:val="00AF5F00"/>
    <w:rsid w:val="00AF6220"/>
    <w:rsid w:val="00AF6596"/>
    <w:rsid w:val="00B03446"/>
    <w:rsid w:val="00B038ED"/>
    <w:rsid w:val="00B045EA"/>
    <w:rsid w:val="00B067F7"/>
    <w:rsid w:val="00B0689D"/>
    <w:rsid w:val="00B07C82"/>
    <w:rsid w:val="00B10F9C"/>
    <w:rsid w:val="00B117B8"/>
    <w:rsid w:val="00B1559D"/>
    <w:rsid w:val="00B15F00"/>
    <w:rsid w:val="00B16EF2"/>
    <w:rsid w:val="00B211DA"/>
    <w:rsid w:val="00B22E35"/>
    <w:rsid w:val="00B27598"/>
    <w:rsid w:val="00B30B4F"/>
    <w:rsid w:val="00B31ACB"/>
    <w:rsid w:val="00B31F0F"/>
    <w:rsid w:val="00B355D4"/>
    <w:rsid w:val="00B36E59"/>
    <w:rsid w:val="00B3716C"/>
    <w:rsid w:val="00B3717D"/>
    <w:rsid w:val="00B4047F"/>
    <w:rsid w:val="00B41B9F"/>
    <w:rsid w:val="00B41F7B"/>
    <w:rsid w:val="00B459C6"/>
    <w:rsid w:val="00B46527"/>
    <w:rsid w:val="00B46A4C"/>
    <w:rsid w:val="00B5004F"/>
    <w:rsid w:val="00B50ADF"/>
    <w:rsid w:val="00B521EC"/>
    <w:rsid w:val="00B541AC"/>
    <w:rsid w:val="00B55AAE"/>
    <w:rsid w:val="00B56C76"/>
    <w:rsid w:val="00B62063"/>
    <w:rsid w:val="00B62397"/>
    <w:rsid w:val="00B62731"/>
    <w:rsid w:val="00B6286B"/>
    <w:rsid w:val="00B67196"/>
    <w:rsid w:val="00B67C9B"/>
    <w:rsid w:val="00B67FBC"/>
    <w:rsid w:val="00B70504"/>
    <w:rsid w:val="00B729F9"/>
    <w:rsid w:val="00B72EE3"/>
    <w:rsid w:val="00B75B81"/>
    <w:rsid w:val="00B8264F"/>
    <w:rsid w:val="00B84FE3"/>
    <w:rsid w:val="00B850E4"/>
    <w:rsid w:val="00B87072"/>
    <w:rsid w:val="00B90556"/>
    <w:rsid w:val="00B914D9"/>
    <w:rsid w:val="00B9180E"/>
    <w:rsid w:val="00B9300B"/>
    <w:rsid w:val="00B96D99"/>
    <w:rsid w:val="00BA45A3"/>
    <w:rsid w:val="00BB066A"/>
    <w:rsid w:val="00BB0C0E"/>
    <w:rsid w:val="00BB3722"/>
    <w:rsid w:val="00BB401A"/>
    <w:rsid w:val="00BC029A"/>
    <w:rsid w:val="00BC04FB"/>
    <w:rsid w:val="00BC4BC3"/>
    <w:rsid w:val="00BC529D"/>
    <w:rsid w:val="00BC665D"/>
    <w:rsid w:val="00BC7D2A"/>
    <w:rsid w:val="00BD0F3F"/>
    <w:rsid w:val="00BD1D84"/>
    <w:rsid w:val="00BD39D9"/>
    <w:rsid w:val="00BD49BB"/>
    <w:rsid w:val="00BD5974"/>
    <w:rsid w:val="00BD5C71"/>
    <w:rsid w:val="00BE3F58"/>
    <w:rsid w:val="00BE7C06"/>
    <w:rsid w:val="00BF4308"/>
    <w:rsid w:val="00BF6D17"/>
    <w:rsid w:val="00C00123"/>
    <w:rsid w:val="00C0141F"/>
    <w:rsid w:val="00C02240"/>
    <w:rsid w:val="00C02438"/>
    <w:rsid w:val="00C02C57"/>
    <w:rsid w:val="00C0729D"/>
    <w:rsid w:val="00C13243"/>
    <w:rsid w:val="00C164F9"/>
    <w:rsid w:val="00C17B71"/>
    <w:rsid w:val="00C242AA"/>
    <w:rsid w:val="00C24A8B"/>
    <w:rsid w:val="00C26EE9"/>
    <w:rsid w:val="00C27855"/>
    <w:rsid w:val="00C3373F"/>
    <w:rsid w:val="00C34E1D"/>
    <w:rsid w:val="00C361F1"/>
    <w:rsid w:val="00C36E11"/>
    <w:rsid w:val="00C43018"/>
    <w:rsid w:val="00C44035"/>
    <w:rsid w:val="00C44936"/>
    <w:rsid w:val="00C543C3"/>
    <w:rsid w:val="00C66CDF"/>
    <w:rsid w:val="00C70FAA"/>
    <w:rsid w:val="00C718F5"/>
    <w:rsid w:val="00C71F21"/>
    <w:rsid w:val="00C73279"/>
    <w:rsid w:val="00C7694D"/>
    <w:rsid w:val="00C824E3"/>
    <w:rsid w:val="00C915BD"/>
    <w:rsid w:val="00C9310B"/>
    <w:rsid w:val="00C93C5B"/>
    <w:rsid w:val="00C9449E"/>
    <w:rsid w:val="00CA1958"/>
    <w:rsid w:val="00CA4371"/>
    <w:rsid w:val="00CA43E9"/>
    <w:rsid w:val="00CA532A"/>
    <w:rsid w:val="00CC3273"/>
    <w:rsid w:val="00CC6A52"/>
    <w:rsid w:val="00CD08AC"/>
    <w:rsid w:val="00CD0F60"/>
    <w:rsid w:val="00CD1534"/>
    <w:rsid w:val="00CD2B0F"/>
    <w:rsid w:val="00CD3235"/>
    <w:rsid w:val="00CD6767"/>
    <w:rsid w:val="00CE0C7A"/>
    <w:rsid w:val="00CE3269"/>
    <w:rsid w:val="00CE3B5F"/>
    <w:rsid w:val="00CE3DB8"/>
    <w:rsid w:val="00CE48A3"/>
    <w:rsid w:val="00D00683"/>
    <w:rsid w:val="00D0171F"/>
    <w:rsid w:val="00D057F7"/>
    <w:rsid w:val="00D1028E"/>
    <w:rsid w:val="00D10DFE"/>
    <w:rsid w:val="00D1202D"/>
    <w:rsid w:val="00D17073"/>
    <w:rsid w:val="00D217E2"/>
    <w:rsid w:val="00D22B95"/>
    <w:rsid w:val="00D243A8"/>
    <w:rsid w:val="00D244ED"/>
    <w:rsid w:val="00D27442"/>
    <w:rsid w:val="00D300E9"/>
    <w:rsid w:val="00D301AD"/>
    <w:rsid w:val="00D34D63"/>
    <w:rsid w:val="00D36468"/>
    <w:rsid w:val="00D41ECC"/>
    <w:rsid w:val="00D43BF8"/>
    <w:rsid w:val="00D44D1A"/>
    <w:rsid w:val="00D45127"/>
    <w:rsid w:val="00D46CE3"/>
    <w:rsid w:val="00D51C3A"/>
    <w:rsid w:val="00D52973"/>
    <w:rsid w:val="00D53B07"/>
    <w:rsid w:val="00D5447A"/>
    <w:rsid w:val="00D56C81"/>
    <w:rsid w:val="00D644A4"/>
    <w:rsid w:val="00D648DD"/>
    <w:rsid w:val="00D7073F"/>
    <w:rsid w:val="00D75C2A"/>
    <w:rsid w:val="00D81723"/>
    <w:rsid w:val="00D86E7A"/>
    <w:rsid w:val="00D87AB9"/>
    <w:rsid w:val="00D93B5D"/>
    <w:rsid w:val="00DA224F"/>
    <w:rsid w:val="00DA29E1"/>
    <w:rsid w:val="00DA3052"/>
    <w:rsid w:val="00DA31AF"/>
    <w:rsid w:val="00DA3A52"/>
    <w:rsid w:val="00DA6458"/>
    <w:rsid w:val="00DA755D"/>
    <w:rsid w:val="00DB0545"/>
    <w:rsid w:val="00DB1A22"/>
    <w:rsid w:val="00DB43AB"/>
    <w:rsid w:val="00DB7D1D"/>
    <w:rsid w:val="00DB7DD7"/>
    <w:rsid w:val="00DC030D"/>
    <w:rsid w:val="00DC5EB4"/>
    <w:rsid w:val="00DD4E68"/>
    <w:rsid w:val="00DD61A8"/>
    <w:rsid w:val="00DE7D30"/>
    <w:rsid w:val="00DF3399"/>
    <w:rsid w:val="00DF3722"/>
    <w:rsid w:val="00DF3A97"/>
    <w:rsid w:val="00E003C0"/>
    <w:rsid w:val="00E019EA"/>
    <w:rsid w:val="00E01DF0"/>
    <w:rsid w:val="00E03271"/>
    <w:rsid w:val="00E06DC3"/>
    <w:rsid w:val="00E10859"/>
    <w:rsid w:val="00E10B40"/>
    <w:rsid w:val="00E11AA8"/>
    <w:rsid w:val="00E11D30"/>
    <w:rsid w:val="00E2119B"/>
    <w:rsid w:val="00E25A32"/>
    <w:rsid w:val="00E36C9F"/>
    <w:rsid w:val="00E377E6"/>
    <w:rsid w:val="00E37B1B"/>
    <w:rsid w:val="00E40B45"/>
    <w:rsid w:val="00E40FA1"/>
    <w:rsid w:val="00E41393"/>
    <w:rsid w:val="00E45F19"/>
    <w:rsid w:val="00E55750"/>
    <w:rsid w:val="00E5643F"/>
    <w:rsid w:val="00E60C3F"/>
    <w:rsid w:val="00E61D88"/>
    <w:rsid w:val="00E63708"/>
    <w:rsid w:val="00E70F34"/>
    <w:rsid w:val="00E751E6"/>
    <w:rsid w:val="00E81812"/>
    <w:rsid w:val="00E81F6E"/>
    <w:rsid w:val="00E833C6"/>
    <w:rsid w:val="00E8700B"/>
    <w:rsid w:val="00E90E27"/>
    <w:rsid w:val="00E9436C"/>
    <w:rsid w:val="00E95CEF"/>
    <w:rsid w:val="00EA1F86"/>
    <w:rsid w:val="00EA352A"/>
    <w:rsid w:val="00EA3FF1"/>
    <w:rsid w:val="00EA4E5D"/>
    <w:rsid w:val="00EC0015"/>
    <w:rsid w:val="00EC616A"/>
    <w:rsid w:val="00EC6D58"/>
    <w:rsid w:val="00EC729D"/>
    <w:rsid w:val="00EC7FF8"/>
    <w:rsid w:val="00ED3DD0"/>
    <w:rsid w:val="00ED4282"/>
    <w:rsid w:val="00ED5C8E"/>
    <w:rsid w:val="00ED716B"/>
    <w:rsid w:val="00EE0029"/>
    <w:rsid w:val="00EE1024"/>
    <w:rsid w:val="00EE2B71"/>
    <w:rsid w:val="00EE509B"/>
    <w:rsid w:val="00F01C1F"/>
    <w:rsid w:val="00F02D0D"/>
    <w:rsid w:val="00F03596"/>
    <w:rsid w:val="00F04359"/>
    <w:rsid w:val="00F0448B"/>
    <w:rsid w:val="00F10305"/>
    <w:rsid w:val="00F1139D"/>
    <w:rsid w:val="00F128FC"/>
    <w:rsid w:val="00F17D0C"/>
    <w:rsid w:val="00F2114C"/>
    <w:rsid w:val="00F21687"/>
    <w:rsid w:val="00F21C7C"/>
    <w:rsid w:val="00F247C2"/>
    <w:rsid w:val="00F30AFB"/>
    <w:rsid w:val="00F3268F"/>
    <w:rsid w:val="00F33773"/>
    <w:rsid w:val="00F52BA8"/>
    <w:rsid w:val="00F539A9"/>
    <w:rsid w:val="00F607EC"/>
    <w:rsid w:val="00F644C6"/>
    <w:rsid w:val="00F64902"/>
    <w:rsid w:val="00F72F9F"/>
    <w:rsid w:val="00F765E8"/>
    <w:rsid w:val="00F81A9A"/>
    <w:rsid w:val="00F932DE"/>
    <w:rsid w:val="00F96846"/>
    <w:rsid w:val="00FA4A09"/>
    <w:rsid w:val="00FB0156"/>
    <w:rsid w:val="00FB488B"/>
    <w:rsid w:val="00FB5402"/>
    <w:rsid w:val="00FC4CD3"/>
    <w:rsid w:val="00FC569A"/>
    <w:rsid w:val="00FC76AC"/>
    <w:rsid w:val="00FD0830"/>
    <w:rsid w:val="00FD16BC"/>
    <w:rsid w:val="00FD21F9"/>
    <w:rsid w:val="00FD57FA"/>
    <w:rsid w:val="00FD60A6"/>
    <w:rsid w:val="00FE0BF3"/>
    <w:rsid w:val="00FE1956"/>
    <w:rsid w:val="00FE31F0"/>
    <w:rsid w:val="00FE516C"/>
    <w:rsid w:val="00FE7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B518E"/>
  <w15:chartTrackingRefBased/>
  <w15:docId w15:val="{33863973-ABD1-4FB3-AA1C-1C6065C2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073"/>
    <w:pPr>
      <w:keepNext/>
      <w:keepLines/>
      <w:spacing w:before="240" w:line="360" w:lineRule="auto"/>
      <w:outlineLvl w:val="0"/>
    </w:pPr>
    <w:rPr>
      <w:rFonts w:ascii="Franklin Gothic Book" w:eastAsiaTheme="majorEastAsia" w:hAnsi="Franklin Gothic Book" w:cstheme="majorBidi"/>
      <w:i/>
      <w:color w:val="BF8F00" w:themeColor="accent4" w:themeShade="BF"/>
      <w:sz w:val="32"/>
      <w:szCs w:val="32"/>
    </w:rPr>
  </w:style>
  <w:style w:type="paragraph" w:styleId="Heading2">
    <w:name w:val="heading 2"/>
    <w:basedOn w:val="Normal"/>
    <w:next w:val="Normal"/>
    <w:link w:val="Heading2Char"/>
    <w:uiPriority w:val="9"/>
    <w:unhideWhenUsed/>
    <w:qFormat/>
    <w:rsid w:val="00D17073"/>
    <w:pPr>
      <w:keepNext/>
      <w:keepLines/>
      <w:spacing w:before="40"/>
      <w:outlineLvl w:val="1"/>
    </w:pPr>
    <w:rPr>
      <w:rFonts w:ascii="Franklin Gothic Book" w:eastAsiaTheme="majorEastAsia" w:hAnsi="Franklin Gothic Book" w:cstheme="majorBidi"/>
      <w:i/>
      <w:color w:val="BF8F00" w:themeColor="accent4" w:themeShade="BF"/>
      <w:sz w:val="26"/>
      <w:szCs w:val="26"/>
    </w:rPr>
  </w:style>
  <w:style w:type="paragraph" w:styleId="Heading3">
    <w:name w:val="heading 3"/>
    <w:basedOn w:val="Normal"/>
    <w:next w:val="Normal"/>
    <w:link w:val="Heading3Char"/>
    <w:uiPriority w:val="9"/>
    <w:unhideWhenUsed/>
    <w:qFormat/>
    <w:rsid w:val="00D17073"/>
    <w:pPr>
      <w:keepNext/>
      <w:keepLines/>
      <w:spacing w:before="40"/>
      <w:outlineLvl w:val="2"/>
    </w:pPr>
    <w:rPr>
      <w:rFonts w:ascii="Franklin Gothic Book" w:eastAsiaTheme="majorEastAsia" w:hAnsi="Franklin Gothic Book" w:cstheme="majorBidi"/>
      <w:b/>
      <w:color w:val="BF8F00" w:themeColor="accent4"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3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766"/>
    <w:pPr>
      <w:ind w:left="720"/>
      <w:contextualSpacing/>
    </w:pPr>
  </w:style>
  <w:style w:type="paragraph" w:styleId="FootnoteText">
    <w:name w:val="footnote text"/>
    <w:basedOn w:val="Normal"/>
    <w:link w:val="FootnoteTextChar"/>
    <w:uiPriority w:val="99"/>
    <w:unhideWhenUsed/>
    <w:rsid w:val="007E04AB"/>
    <w:rPr>
      <w:sz w:val="20"/>
      <w:szCs w:val="20"/>
    </w:rPr>
  </w:style>
  <w:style w:type="character" w:customStyle="1" w:styleId="FootnoteTextChar">
    <w:name w:val="Footnote Text Char"/>
    <w:basedOn w:val="DefaultParagraphFont"/>
    <w:link w:val="FootnoteText"/>
    <w:uiPriority w:val="99"/>
    <w:rsid w:val="007E04AB"/>
    <w:rPr>
      <w:sz w:val="20"/>
      <w:szCs w:val="20"/>
    </w:rPr>
  </w:style>
  <w:style w:type="character" w:styleId="FootnoteReference">
    <w:name w:val="footnote reference"/>
    <w:basedOn w:val="DefaultParagraphFont"/>
    <w:uiPriority w:val="99"/>
    <w:semiHidden/>
    <w:unhideWhenUsed/>
    <w:rsid w:val="007E04AB"/>
    <w:rPr>
      <w:vertAlign w:val="superscript"/>
    </w:rPr>
  </w:style>
  <w:style w:type="paragraph" w:customStyle="1" w:styleId="Bullets">
    <w:name w:val="Bullets"/>
    <w:basedOn w:val="Normal"/>
    <w:link w:val="BulletsChar"/>
    <w:uiPriority w:val="8"/>
    <w:qFormat/>
    <w:rsid w:val="00401F9A"/>
    <w:pPr>
      <w:numPr>
        <w:numId w:val="1"/>
      </w:numPr>
      <w:spacing w:before="120" w:after="120" w:line="276" w:lineRule="auto"/>
    </w:pPr>
    <w:rPr>
      <w:rFonts w:ascii="Arial Nova" w:eastAsia="Times New Roman" w:hAnsi="Arial Nova" w:cs="Times New Roman"/>
      <w:sz w:val="20"/>
      <w:szCs w:val="24"/>
    </w:rPr>
  </w:style>
  <w:style w:type="character" w:customStyle="1" w:styleId="BulletsChar">
    <w:name w:val="Bullets Char"/>
    <w:basedOn w:val="DefaultParagraphFont"/>
    <w:link w:val="Bullets"/>
    <w:uiPriority w:val="8"/>
    <w:rsid w:val="00401F9A"/>
    <w:rPr>
      <w:rFonts w:ascii="Arial Nova" w:eastAsia="Times New Roman" w:hAnsi="Arial Nova" w:cs="Times New Roman"/>
      <w:sz w:val="20"/>
      <w:szCs w:val="24"/>
    </w:rPr>
  </w:style>
  <w:style w:type="paragraph" w:styleId="BalloonText">
    <w:name w:val="Balloon Text"/>
    <w:basedOn w:val="Normal"/>
    <w:link w:val="BalloonTextChar"/>
    <w:uiPriority w:val="99"/>
    <w:semiHidden/>
    <w:unhideWhenUsed/>
    <w:rsid w:val="00941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646"/>
    <w:rPr>
      <w:rFonts w:ascii="Segoe UI" w:hAnsi="Segoe UI" w:cs="Segoe UI"/>
      <w:sz w:val="18"/>
      <w:szCs w:val="18"/>
    </w:rPr>
  </w:style>
  <w:style w:type="character" w:styleId="Hyperlink">
    <w:name w:val="Hyperlink"/>
    <w:basedOn w:val="DefaultParagraphFont"/>
    <w:uiPriority w:val="99"/>
    <w:unhideWhenUsed/>
    <w:rsid w:val="00D244ED"/>
    <w:rPr>
      <w:color w:val="0563C1" w:themeColor="hyperlink"/>
      <w:u w:val="single"/>
    </w:rPr>
  </w:style>
  <w:style w:type="character" w:styleId="UnresolvedMention">
    <w:name w:val="Unresolved Mention"/>
    <w:basedOn w:val="DefaultParagraphFont"/>
    <w:uiPriority w:val="99"/>
    <w:semiHidden/>
    <w:unhideWhenUsed/>
    <w:rsid w:val="00D244ED"/>
    <w:rPr>
      <w:color w:val="605E5C"/>
      <w:shd w:val="clear" w:color="auto" w:fill="E1DFDD"/>
    </w:rPr>
  </w:style>
  <w:style w:type="paragraph" w:styleId="Header">
    <w:name w:val="header"/>
    <w:basedOn w:val="Normal"/>
    <w:link w:val="HeaderChar"/>
    <w:uiPriority w:val="99"/>
    <w:unhideWhenUsed/>
    <w:rsid w:val="00394A15"/>
    <w:pPr>
      <w:tabs>
        <w:tab w:val="center" w:pos="4513"/>
        <w:tab w:val="right" w:pos="9026"/>
      </w:tabs>
    </w:pPr>
  </w:style>
  <w:style w:type="character" w:customStyle="1" w:styleId="HeaderChar">
    <w:name w:val="Header Char"/>
    <w:basedOn w:val="DefaultParagraphFont"/>
    <w:link w:val="Header"/>
    <w:uiPriority w:val="99"/>
    <w:rsid w:val="00394A15"/>
  </w:style>
  <w:style w:type="paragraph" w:styleId="Footer">
    <w:name w:val="footer"/>
    <w:basedOn w:val="Normal"/>
    <w:link w:val="FooterChar"/>
    <w:uiPriority w:val="99"/>
    <w:unhideWhenUsed/>
    <w:rsid w:val="00394A15"/>
    <w:pPr>
      <w:tabs>
        <w:tab w:val="center" w:pos="4513"/>
        <w:tab w:val="right" w:pos="9026"/>
      </w:tabs>
    </w:pPr>
  </w:style>
  <w:style w:type="character" w:customStyle="1" w:styleId="FooterChar">
    <w:name w:val="Footer Char"/>
    <w:basedOn w:val="DefaultParagraphFont"/>
    <w:link w:val="Footer"/>
    <w:uiPriority w:val="99"/>
    <w:rsid w:val="00394A15"/>
  </w:style>
  <w:style w:type="character" w:styleId="CommentReference">
    <w:name w:val="annotation reference"/>
    <w:basedOn w:val="DefaultParagraphFont"/>
    <w:uiPriority w:val="99"/>
    <w:semiHidden/>
    <w:unhideWhenUsed/>
    <w:rsid w:val="00A17280"/>
    <w:rPr>
      <w:sz w:val="16"/>
      <w:szCs w:val="16"/>
    </w:rPr>
  </w:style>
  <w:style w:type="paragraph" w:styleId="CommentText">
    <w:name w:val="annotation text"/>
    <w:basedOn w:val="Normal"/>
    <w:link w:val="CommentTextChar"/>
    <w:uiPriority w:val="99"/>
    <w:unhideWhenUsed/>
    <w:rsid w:val="00A17280"/>
    <w:rPr>
      <w:sz w:val="20"/>
      <w:szCs w:val="20"/>
    </w:rPr>
  </w:style>
  <w:style w:type="character" w:customStyle="1" w:styleId="CommentTextChar">
    <w:name w:val="Comment Text Char"/>
    <w:basedOn w:val="DefaultParagraphFont"/>
    <w:link w:val="CommentText"/>
    <w:uiPriority w:val="99"/>
    <w:rsid w:val="00A17280"/>
    <w:rPr>
      <w:sz w:val="20"/>
      <w:szCs w:val="20"/>
    </w:rPr>
  </w:style>
  <w:style w:type="paragraph" w:styleId="CommentSubject">
    <w:name w:val="annotation subject"/>
    <w:basedOn w:val="CommentText"/>
    <w:next w:val="CommentText"/>
    <w:link w:val="CommentSubjectChar"/>
    <w:uiPriority w:val="99"/>
    <w:semiHidden/>
    <w:unhideWhenUsed/>
    <w:rsid w:val="00A17280"/>
    <w:rPr>
      <w:b/>
      <w:bCs/>
    </w:rPr>
  </w:style>
  <w:style w:type="character" w:customStyle="1" w:styleId="CommentSubjectChar">
    <w:name w:val="Comment Subject Char"/>
    <w:basedOn w:val="CommentTextChar"/>
    <w:link w:val="CommentSubject"/>
    <w:uiPriority w:val="99"/>
    <w:semiHidden/>
    <w:rsid w:val="00A17280"/>
    <w:rPr>
      <w:b/>
      <w:bCs/>
      <w:sz w:val="20"/>
      <w:szCs w:val="20"/>
    </w:rPr>
  </w:style>
  <w:style w:type="paragraph" w:styleId="NormalWeb">
    <w:name w:val="Normal (Web)"/>
    <w:basedOn w:val="Normal"/>
    <w:uiPriority w:val="99"/>
    <w:unhideWhenUsed/>
    <w:rsid w:val="004E318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DF3A97"/>
    <w:rPr>
      <w:rFonts w:ascii="Calibri" w:hAnsi="Calibri" w:cs="Calibri"/>
      <w:lang w:val="en-US"/>
    </w:rPr>
  </w:style>
  <w:style w:type="paragraph" w:customStyle="1" w:styleId="xmsolistparagraph">
    <w:name w:val="x_msolistparagraph"/>
    <w:basedOn w:val="Normal"/>
    <w:rsid w:val="00DF3A97"/>
    <w:pPr>
      <w:ind w:left="720"/>
    </w:pPr>
    <w:rPr>
      <w:rFonts w:ascii="Calibri" w:hAnsi="Calibri" w:cs="Calibri"/>
      <w:lang w:val="en-US"/>
    </w:rPr>
  </w:style>
  <w:style w:type="paragraph" w:styleId="NoSpacing">
    <w:name w:val="No Spacing"/>
    <w:link w:val="NoSpacingChar"/>
    <w:uiPriority w:val="1"/>
    <w:qFormat/>
    <w:rsid w:val="007343D8"/>
    <w:rPr>
      <w:rFonts w:eastAsiaTheme="minorEastAsia"/>
      <w:lang w:val="en-US"/>
    </w:rPr>
  </w:style>
  <w:style w:type="character" w:customStyle="1" w:styleId="NoSpacingChar">
    <w:name w:val="No Spacing Char"/>
    <w:basedOn w:val="DefaultParagraphFont"/>
    <w:link w:val="NoSpacing"/>
    <w:uiPriority w:val="1"/>
    <w:rsid w:val="007343D8"/>
    <w:rPr>
      <w:rFonts w:eastAsiaTheme="minorEastAsia"/>
      <w:lang w:val="en-US"/>
    </w:rPr>
  </w:style>
  <w:style w:type="paragraph" w:styleId="Title">
    <w:name w:val="Title"/>
    <w:basedOn w:val="Normal"/>
    <w:next w:val="Normal"/>
    <w:link w:val="TitleChar"/>
    <w:uiPriority w:val="10"/>
    <w:qFormat/>
    <w:rsid w:val="00D17073"/>
    <w:pPr>
      <w:ind w:left="720" w:right="720"/>
      <w:contextualSpacing/>
    </w:pPr>
    <w:rPr>
      <w:rFonts w:asciiTheme="majorHAnsi" w:eastAsiaTheme="majorEastAsia" w:hAnsiTheme="majorHAnsi" w:cstheme="majorBidi"/>
      <w:caps/>
      <w:color w:val="FFFFFF" w:themeColor="background1"/>
      <w:spacing w:val="-10"/>
      <w:kern w:val="28"/>
      <w:sz w:val="52"/>
      <w:szCs w:val="56"/>
      <w:lang w:val="en-US" w:eastAsia="ja-JP"/>
    </w:rPr>
  </w:style>
  <w:style w:type="character" w:customStyle="1" w:styleId="TitleChar">
    <w:name w:val="Title Char"/>
    <w:basedOn w:val="DefaultParagraphFont"/>
    <w:link w:val="Title"/>
    <w:uiPriority w:val="10"/>
    <w:rsid w:val="00D17073"/>
    <w:rPr>
      <w:rFonts w:asciiTheme="majorHAnsi" w:eastAsiaTheme="majorEastAsia" w:hAnsiTheme="majorHAnsi" w:cstheme="majorBidi"/>
      <w:caps/>
      <w:color w:val="FFFFFF" w:themeColor="background1"/>
      <w:spacing w:val="-10"/>
      <w:kern w:val="28"/>
      <w:sz w:val="52"/>
      <w:szCs w:val="56"/>
      <w:lang w:val="en-US" w:eastAsia="ja-JP"/>
    </w:rPr>
  </w:style>
  <w:style w:type="paragraph" w:customStyle="1" w:styleId="ContactInfo">
    <w:name w:val="Contact Info"/>
    <w:basedOn w:val="Normal"/>
    <w:uiPriority w:val="1"/>
    <w:qFormat/>
    <w:rsid w:val="00D17073"/>
    <w:rPr>
      <w:color w:val="FFFFFF" w:themeColor="background1"/>
      <w:kern w:val="20"/>
      <w:sz w:val="24"/>
      <w:szCs w:val="20"/>
      <w:lang w:val="en-US" w:eastAsia="ja-JP"/>
    </w:rPr>
  </w:style>
  <w:style w:type="character" w:customStyle="1" w:styleId="Heading1Char">
    <w:name w:val="Heading 1 Char"/>
    <w:basedOn w:val="DefaultParagraphFont"/>
    <w:link w:val="Heading1"/>
    <w:uiPriority w:val="9"/>
    <w:rsid w:val="00D17073"/>
    <w:rPr>
      <w:rFonts w:ascii="Franklin Gothic Book" w:eastAsiaTheme="majorEastAsia" w:hAnsi="Franklin Gothic Book" w:cstheme="majorBidi"/>
      <w:i/>
      <w:color w:val="BF8F00" w:themeColor="accent4" w:themeShade="BF"/>
      <w:sz w:val="32"/>
      <w:szCs w:val="32"/>
    </w:rPr>
  </w:style>
  <w:style w:type="character" w:customStyle="1" w:styleId="Heading2Char">
    <w:name w:val="Heading 2 Char"/>
    <w:basedOn w:val="DefaultParagraphFont"/>
    <w:link w:val="Heading2"/>
    <w:uiPriority w:val="9"/>
    <w:rsid w:val="00D17073"/>
    <w:rPr>
      <w:rFonts w:ascii="Franklin Gothic Book" w:eastAsiaTheme="majorEastAsia" w:hAnsi="Franklin Gothic Book" w:cstheme="majorBidi"/>
      <w:i/>
      <w:color w:val="BF8F00" w:themeColor="accent4" w:themeShade="BF"/>
      <w:sz w:val="26"/>
      <w:szCs w:val="26"/>
    </w:rPr>
  </w:style>
  <w:style w:type="character" w:customStyle="1" w:styleId="Heading3Char">
    <w:name w:val="Heading 3 Char"/>
    <w:basedOn w:val="DefaultParagraphFont"/>
    <w:link w:val="Heading3"/>
    <w:uiPriority w:val="9"/>
    <w:rsid w:val="00D17073"/>
    <w:rPr>
      <w:rFonts w:ascii="Franklin Gothic Book" w:eastAsiaTheme="majorEastAsia" w:hAnsi="Franklin Gothic Book" w:cstheme="majorBidi"/>
      <w:b/>
      <w:color w:val="BF8F00" w:themeColor="accent4" w:themeShade="BF"/>
      <w:sz w:val="24"/>
      <w:szCs w:val="24"/>
    </w:rPr>
  </w:style>
  <w:style w:type="character" w:styleId="PlaceholderText">
    <w:name w:val="Placeholder Text"/>
    <w:basedOn w:val="DefaultParagraphFont"/>
    <w:uiPriority w:val="99"/>
    <w:semiHidden/>
    <w:rsid w:val="00BA45A3"/>
    <w:rPr>
      <w:color w:val="808080"/>
    </w:rPr>
  </w:style>
  <w:style w:type="character" w:styleId="FollowedHyperlink">
    <w:name w:val="FollowedHyperlink"/>
    <w:basedOn w:val="DefaultParagraphFont"/>
    <w:uiPriority w:val="99"/>
    <w:semiHidden/>
    <w:unhideWhenUsed/>
    <w:rsid w:val="001D2478"/>
    <w:rPr>
      <w:color w:val="954F72" w:themeColor="followedHyperlink"/>
      <w:u w:val="single"/>
    </w:rPr>
  </w:style>
  <w:style w:type="paragraph" w:styleId="PlainText">
    <w:name w:val="Plain Text"/>
    <w:basedOn w:val="Normal"/>
    <w:link w:val="PlainTextChar"/>
    <w:uiPriority w:val="99"/>
    <w:semiHidden/>
    <w:unhideWhenUsed/>
    <w:rsid w:val="00630302"/>
    <w:rPr>
      <w:rFonts w:ascii="Calibri" w:hAnsi="Calibri"/>
      <w:szCs w:val="21"/>
    </w:rPr>
  </w:style>
  <w:style w:type="character" w:customStyle="1" w:styleId="PlainTextChar">
    <w:name w:val="Plain Text Char"/>
    <w:basedOn w:val="DefaultParagraphFont"/>
    <w:link w:val="PlainText"/>
    <w:uiPriority w:val="99"/>
    <w:semiHidden/>
    <w:rsid w:val="00630302"/>
    <w:rPr>
      <w:rFonts w:ascii="Calibri" w:hAnsi="Calibri"/>
      <w:szCs w:val="21"/>
    </w:rPr>
  </w:style>
  <w:style w:type="character" w:styleId="Strong">
    <w:name w:val="Strong"/>
    <w:basedOn w:val="DefaultParagraphFont"/>
    <w:uiPriority w:val="22"/>
    <w:qFormat/>
    <w:rsid w:val="00C43018"/>
    <w:rPr>
      <w:b/>
      <w:bCs/>
    </w:rPr>
  </w:style>
  <w:style w:type="character" w:customStyle="1" w:styleId="A3">
    <w:name w:val="A3"/>
    <w:uiPriority w:val="99"/>
    <w:rsid w:val="00746A2E"/>
    <w:rPr>
      <w:rFonts w:cs="Cera PRO"/>
      <w:color w:val="000000"/>
      <w:sz w:val="20"/>
      <w:szCs w:val="20"/>
    </w:rPr>
  </w:style>
  <w:style w:type="paragraph" w:customStyle="1" w:styleId="Pa1">
    <w:name w:val="Pa1"/>
    <w:basedOn w:val="Normal"/>
    <w:next w:val="Normal"/>
    <w:uiPriority w:val="99"/>
    <w:rsid w:val="00D1202D"/>
    <w:pPr>
      <w:autoSpaceDE w:val="0"/>
      <w:autoSpaceDN w:val="0"/>
      <w:adjustRightInd w:val="0"/>
      <w:spacing w:line="221" w:lineRule="atLeast"/>
    </w:pPr>
    <w:rPr>
      <w:rFonts w:ascii="Cera PRO" w:hAnsi="Cera PRO"/>
      <w:sz w:val="24"/>
      <w:szCs w:val="24"/>
    </w:rPr>
  </w:style>
  <w:style w:type="character" w:customStyle="1" w:styleId="A4">
    <w:name w:val="A4"/>
    <w:uiPriority w:val="99"/>
    <w:rsid w:val="00D1202D"/>
    <w:rPr>
      <w:rFonts w:cs="Cera PRO"/>
      <w:color w:val="000000"/>
      <w:sz w:val="11"/>
      <w:szCs w:val="11"/>
    </w:rPr>
  </w:style>
  <w:style w:type="paragraph" w:styleId="Revision">
    <w:name w:val="Revision"/>
    <w:hidden/>
    <w:uiPriority w:val="99"/>
    <w:semiHidden/>
    <w:rsid w:val="00C0729D"/>
  </w:style>
  <w:style w:type="paragraph" w:styleId="EndnoteText">
    <w:name w:val="endnote text"/>
    <w:basedOn w:val="Normal"/>
    <w:link w:val="EndnoteTextChar"/>
    <w:uiPriority w:val="99"/>
    <w:semiHidden/>
    <w:unhideWhenUsed/>
    <w:rsid w:val="00103AD6"/>
    <w:rPr>
      <w:sz w:val="20"/>
      <w:szCs w:val="20"/>
    </w:rPr>
  </w:style>
  <w:style w:type="character" w:customStyle="1" w:styleId="EndnoteTextChar">
    <w:name w:val="Endnote Text Char"/>
    <w:basedOn w:val="DefaultParagraphFont"/>
    <w:link w:val="EndnoteText"/>
    <w:uiPriority w:val="99"/>
    <w:semiHidden/>
    <w:rsid w:val="00103AD6"/>
    <w:rPr>
      <w:sz w:val="20"/>
      <w:szCs w:val="20"/>
    </w:rPr>
  </w:style>
  <w:style w:type="character" w:styleId="EndnoteReference">
    <w:name w:val="endnote reference"/>
    <w:basedOn w:val="DefaultParagraphFont"/>
    <w:uiPriority w:val="99"/>
    <w:semiHidden/>
    <w:unhideWhenUsed/>
    <w:rsid w:val="00103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72883">
      <w:bodyDiv w:val="1"/>
      <w:marLeft w:val="0"/>
      <w:marRight w:val="0"/>
      <w:marTop w:val="0"/>
      <w:marBottom w:val="0"/>
      <w:divBdr>
        <w:top w:val="none" w:sz="0" w:space="0" w:color="auto"/>
        <w:left w:val="none" w:sz="0" w:space="0" w:color="auto"/>
        <w:bottom w:val="none" w:sz="0" w:space="0" w:color="auto"/>
        <w:right w:val="none" w:sz="0" w:space="0" w:color="auto"/>
      </w:divBdr>
      <w:divsChild>
        <w:div w:id="389811375">
          <w:marLeft w:val="0"/>
          <w:marRight w:val="150"/>
          <w:marTop w:val="0"/>
          <w:marBottom w:val="0"/>
          <w:divBdr>
            <w:top w:val="none" w:sz="0" w:space="0" w:color="auto"/>
            <w:left w:val="none" w:sz="0" w:space="0" w:color="auto"/>
            <w:bottom w:val="none" w:sz="0" w:space="0" w:color="auto"/>
            <w:right w:val="none" w:sz="0" w:space="0" w:color="auto"/>
          </w:divBdr>
        </w:div>
        <w:div w:id="595477409">
          <w:marLeft w:val="0"/>
          <w:marRight w:val="0"/>
          <w:marTop w:val="0"/>
          <w:marBottom w:val="0"/>
          <w:divBdr>
            <w:top w:val="none" w:sz="0" w:space="0" w:color="auto"/>
            <w:left w:val="none" w:sz="0" w:space="0" w:color="auto"/>
            <w:bottom w:val="dotted" w:sz="6" w:space="2" w:color="CCCCCC"/>
            <w:right w:val="none" w:sz="0" w:space="0" w:color="auto"/>
          </w:divBdr>
          <w:divsChild>
            <w:div w:id="1373068497">
              <w:marLeft w:val="0"/>
              <w:marRight w:val="150"/>
              <w:marTop w:val="0"/>
              <w:marBottom w:val="0"/>
              <w:divBdr>
                <w:top w:val="none" w:sz="0" w:space="0" w:color="auto"/>
                <w:left w:val="none" w:sz="0" w:space="0" w:color="auto"/>
                <w:bottom w:val="none" w:sz="0" w:space="0" w:color="auto"/>
                <w:right w:val="none" w:sz="0" w:space="0" w:color="auto"/>
              </w:divBdr>
              <w:divsChild>
                <w:div w:id="533276653">
                  <w:marLeft w:val="0"/>
                  <w:marRight w:val="0"/>
                  <w:marTop w:val="0"/>
                  <w:marBottom w:val="75"/>
                  <w:divBdr>
                    <w:top w:val="none" w:sz="0" w:space="0" w:color="auto"/>
                    <w:left w:val="none" w:sz="0" w:space="0" w:color="auto"/>
                    <w:bottom w:val="none" w:sz="0" w:space="0" w:color="auto"/>
                    <w:right w:val="none" w:sz="0" w:space="0" w:color="auto"/>
                  </w:divBdr>
                </w:div>
              </w:divsChild>
            </w:div>
            <w:div w:id="1710646260">
              <w:marLeft w:val="0"/>
              <w:marRight w:val="0"/>
              <w:marTop w:val="0"/>
              <w:marBottom w:val="0"/>
              <w:divBdr>
                <w:top w:val="none" w:sz="0" w:space="0" w:color="auto"/>
                <w:left w:val="none" w:sz="0" w:space="0" w:color="auto"/>
                <w:bottom w:val="none" w:sz="0" w:space="0" w:color="auto"/>
                <w:right w:val="none" w:sz="0" w:space="0" w:color="auto"/>
              </w:divBdr>
            </w:div>
          </w:divsChild>
        </w:div>
        <w:div w:id="1241452295">
          <w:marLeft w:val="0"/>
          <w:marRight w:val="0"/>
          <w:marTop w:val="0"/>
          <w:marBottom w:val="0"/>
          <w:divBdr>
            <w:top w:val="none" w:sz="0" w:space="0" w:color="auto"/>
            <w:left w:val="none" w:sz="0" w:space="0" w:color="auto"/>
            <w:bottom w:val="dotted" w:sz="6" w:space="2" w:color="CCCCCC"/>
            <w:right w:val="none" w:sz="0" w:space="0" w:color="auto"/>
          </w:divBdr>
          <w:divsChild>
            <w:div w:id="851338707">
              <w:marLeft w:val="0"/>
              <w:marRight w:val="150"/>
              <w:marTop w:val="0"/>
              <w:marBottom w:val="0"/>
              <w:divBdr>
                <w:top w:val="none" w:sz="0" w:space="0" w:color="auto"/>
                <w:left w:val="none" w:sz="0" w:space="0" w:color="auto"/>
                <w:bottom w:val="none" w:sz="0" w:space="0" w:color="auto"/>
                <w:right w:val="none" w:sz="0" w:space="0" w:color="auto"/>
              </w:divBdr>
              <w:divsChild>
                <w:div w:id="357854917">
                  <w:marLeft w:val="0"/>
                  <w:marRight w:val="0"/>
                  <w:marTop w:val="0"/>
                  <w:marBottom w:val="75"/>
                  <w:divBdr>
                    <w:top w:val="none" w:sz="0" w:space="0" w:color="auto"/>
                    <w:left w:val="none" w:sz="0" w:space="0" w:color="auto"/>
                    <w:bottom w:val="none" w:sz="0" w:space="0" w:color="auto"/>
                    <w:right w:val="none" w:sz="0" w:space="0" w:color="auto"/>
                  </w:divBdr>
                </w:div>
              </w:divsChild>
            </w:div>
            <w:div w:id="18921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086">
      <w:bodyDiv w:val="1"/>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150"/>
          <w:marTop w:val="0"/>
          <w:marBottom w:val="0"/>
          <w:divBdr>
            <w:top w:val="none" w:sz="0" w:space="0" w:color="auto"/>
            <w:left w:val="none" w:sz="0" w:space="0" w:color="auto"/>
            <w:bottom w:val="none" w:sz="0" w:space="0" w:color="auto"/>
            <w:right w:val="none" w:sz="0" w:space="0" w:color="auto"/>
          </w:divBdr>
        </w:div>
      </w:divsChild>
    </w:div>
    <w:div w:id="210776469">
      <w:bodyDiv w:val="1"/>
      <w:marLeft w:val="0"/>
      <w:marRight w:val="0"/>
      <w:marTop w:val="0"/>
      <w:marBottom w:val="0"/>
      <w:divBdr>
        <w:top w:val="none" w:sz="0" w:space="0" w:color="auto"/>
        <w:left w:val="none" w:sz="0" w:space="0" w:color="auto"/>
        <w:bottom w:val="none" w:sz="0" w:space="0" w:color="auto"/>
        <w:right w:val="none" w:sz="0" w:space="0" w:color="auto"/>
      </w:divBdr>
    </w:div>
    <w:div w:id="243489705">
      <w:bodyDiv w:val="1"/>
      <w:marLeft w:val="0"/>
      <w:marRight w:val="0"/>
      <w:marTop w:val="0"/>
      <w:marBottom w:val="0"/>
      <w:divBdr>
        <w:top w:val="none" w:sz="0" w:space="0" w:color="auto"/>
        <w:left w:val="none" w:sz="0" w:space="0" w:color="auto"/>
        <w:bottom w:val="none" w:sz="0" w:space="0" w:color="auto"/>
        <w:right w:val="none" w:sz="0" w:space="0" w:color="auto"/>
      </w:divBdr>
    </w:div>
    <w:div w:id="389619859">
      <w:bodyDiv w:val="1"/>
      <w:marLeft w:val="0"/>
      <w:marRight w:val="0"/>
      <w:marTop w:val="0"/>
      <w:marBottom w:val="0"/>
      <w:divBdr>
        <w:top w:val="none" w:sz="0" w:space="0" w:color="auto"/>
        <w:left w:val="none" w:sz="0" w:space="0" w:color="auto"/>
        <w:bottom w:val="none" w:sz="0" w:space="0" w:color="auto"/>
        <w:right w:val="none" w:sz="0" w:space="0" w:color="auto"/>
      </w:divBdr>
    </w:div>
    <w:div w:id="390157278">
      <w:bodyDiv w:val="1"/>
      <w:marLeft w:val="0"/>
      <w:marRight w:val="0"/>
      <w:marTop w:val="0"/>
      <w:marBottom w:val="0"/>
      <w:divBdr>
        <w:top w:val="none" w:sz="0" w:space="0" w:color="auto"/>
        <w:left w:val="none" w:sz="0" w:space="0" w:color="auto"/>
        <w:bottom w:val="none" w:sz="0" w:space="0" w:color="auto"/>
        <w:right w:val="none" w:sz="0" w:space="0" w:color="auto"/>
      </w:divBdr>
    </w:div>
    <w:div w:id="546725926">
      <w:bodyDiv w:val="1"/>
      <w:marLeft w:val="0"/>
      <w:marRight w:val="0"/>
      <w:marTop w:val="0"/>
      <w:marBottom w:val="0"/>
      <w:divBdr>
        <w:top w:val="none" w:sz="0" w:space="0" w:color="auto"/>
        <w:left w:val="none" w:sz="0" w:space="0" w:color="auto"/>
        <w:bottom w:val="none" w:sz="0" w:space="0" w:color="auto"/>
        <w:right w:val="none" w:sz="0" w:space="0" w:color="auto"/>
      </w:divBdr>
      <w:divsChild>
        <w:div w:id="1291281234">
          <w:marLeft w:val="0"/>
          <w:marRight w:val="150"/>
          <w:marTop w:val="0"/>
          <w:marBottom w:val="0"/>
          <w:divBdr>
            <w:top w:val="none" w:sz="0" w:space="0" w:color="auto"/>
            <w:left w:val="none" w:sz="0" w:space="0" w:color="auto"/>
            <w:bottom w:val="none" w:sz="0" w:space="0" w:color="auto"/>
            <w:right w:val="none" w:sz="0" w:space="0" w:color="auto"/>
          </w:divBdr>
        </w:div>
        <w:div w:id="94134283">
          <w:marLeft w:val="0"/>
          <w:marRight w:val="0"/>
          <w:marTop w:val="0"/>
          <w:marBottom w:val="0"/>
          <w:divBdr>
            <w:top w:val="none" w:sz="0" w:space="0" w:color="auto"/>
            <w:left w:val="none" w:sz="0" w:space="0" w:color="auto"/>
            <w:bottom w:val="dotted" w:sz="6" w:space="2" w:color="CCCCCC"/>
            <w:right w:val="none" w:sz="0" w:space="0" w:color="auto"/>
          </w:divBdr>
          <w:divsChild>
            <w:div w:id="994801382">
              <w:marLeft w:val="0"/>
              <w:marRight w:val="150"/>
              <w:marTop w:val="0"/>
              <w:marBottom w:val="0"/>
              <w:divBdr>
                <w:top w:val="none" w:sz="0" w:space="0" w:color="auto"/>
                <w:left w:val="none" w:sz="0" w:space="0" w:color="auto"/>
                <w:bottom w:val="none" w:sz="0" w:space="0" w:color="auto"/>
                <w:right w:val="none" w:sz="0" w:space="0" w:color="auto"/>
              </w:divBdr>
              <w:divsChild>
                <w:div w:id="1733695474">
                  <w:marLeft w:val="0"/>
                  <w:marRight w:val="0"/>
                  <w:marTop w:val="0"/>
                  <w:marBottom w:val="75"/>
                  <w:divBdr>
                    <w:top w:val="none" w:sz="0" w:space="0" w:color="auto"/>
                    <w:left w:val="none" w:sz="0" w:space="0" w:color="auto"/>
                    <w:bottom w:val="none" w:sz="0" w:space="0" w:color="auto"/>
                    <w:right w:val="none" w:sz="0" w:space="0" w:color="auto"/>
                  </w:divBdr>
                </w:div>
              </w:divsChild>
            </w:div>
            <w:div w:id="685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4980">
      <w:bodyDiv w:val="1"/>
      <w:marLeft w:val="0"/>
      <w:marRight w:val="0"/>
      <w:marTop w:val="0"/>
      <w:marBottom w:val="0"/>
      <w:divBdr>
        <w:top w:val="none" w:sz="0" w:space="0" w:color="auto"/>
        <w:left w:val="none" w:sz="0" w:space="0" w:color="auto"/>
        <w:bottom w:val="none" w:sz="0" w:space="0" w:color="auto"/>
        <w:right w:val="none" w:sz="0" w:space="0" w:color="auto"/>
      </w:divBdr>
      <w:divsChild>
        <w:div w:id="728378305">
          <w:marLeft w:val="547"/>
          <w:marRight w:val="0"/>
          <w:marTop w:val="0"/>
          <w:marBottom w:val="0"/>
          <w:divBdr>
            <w:top w:val="none" w:sz="0" w:space="0" w:color="auto"/>
            <w:left w:val="none" w:sz="0" w:space="0" w:color="auto"/>
            <w:bottom w:val="none" w:sz="0" w:space="0" w:color="auto"/>
            <w:right w:val="none" w:sz="0" w:space="0" w:color="auto"/>
          </w:divBdr>
        </w:div>
      </w:divsChild>
    </w:div>
    <w:div w:id="628433795">
      <w:bodyDiv w:val="1"/>
      <w:marLeft w:val="0"/>
      <w:marRight w:val="0"/>
      <w:marTop w:val="0"/>
      <w:marBottom w:val="0"/>
      <w:divBdr>
        <w:top w:val="none" w:sz="0" w:space="0" w:color="auto"/>
        <w:left w:val="none" w:sz="0" w:space="0" w:color="auto"/>
        <w:bottom w:val="none" w:sz="0" w:space="0" w:color="auto"/>
        <w:right w:val="none" w:sz="0" w:space="0" w:color="auto"/>
      </w:divBdr>
      <w:divsChild>
        <w:div w:id="368606917">
          <w:marLeft w:val="288"/>
          <w:marRight w:val="0"/>
          <w:marTop w:val="0"/>
          <w:marBottom w:val="0"/>
          <w:divBdr>
            <w:top w:val="none" w:sz="0" w:space="0" w:color="auto"/>
            <w:left w:val="none" w:sz="0" w:space="0" w:color="auto"/>
            <w:bottom w:val="none" w:sz="0" w:space="0" w:color="auto"/>
            <w:right w:val="none" w:sz="0" w:space="0" w:color="auto"/>
          </w:divBdr>
        </w:div>
        <w:div w:id="467476992">
          <w:marLeft w:val="288"/>
          <w:marRight w:val="0"/>
          <w:marTop w:val="0"/>
          <w:marBottom w:val="0"/>
          <w:divBdr>
            <w:top w:val="none" w:sz="0" w:space="0" w:color="auto"/>
            <w:left w:val="none" w:sz="0" w:space="0" w:color="auto"/>
            <w:bottom w:val="none" w:sz="0" w:space="0" w:color="auto"/>
            <w:right w:val="none" w:sz="0" w:space="0" w:color="auto"/>
          </w:divBdr>
        </w:div>
        <w:div w:id="1805537060">
          <w:marLeft w:val="288"/>
          <w:marRight w:val="0"/>
          <w:marTop w:val="0"/>
          <w:marBottom w:val="0"/>
          <w:divBdr>
            <w:top w:val="none" w:sz="0" w:space="0" w:color="auto"/>
            <w:left w:val="none" w:sz="0" w:space="0" w:color="auto"/>
            <w:bottom w:val="none" w:sz="0" w:space="0" w:color="auto"/>
            <w:right w:val="none" w:sz="0" w:space="0" w:color="auto"/>
          </w:divBdr>
        </w:div>
      </w:divsChild>
    </w:div>
    <w:div w:id="750586118">
      <w:bodyDiv w:val="1"/>
      <w:marLeft w:val="0"/>
      <w:marRight w:val="0"/>
      <w:marTop w:val="0"/>
      <w:marBottom w:val="0"/>
      <w:divBdr>
        <w:top w:val="none" w:sz="0" w:space="0" w:color="auto"/>
        <w:left w:val="none" w:sz="0" w:space="0" w:color="auto"/>
        <w:bottom w:val="none" w:sz="0" w:space="0" w:color="auto"/>
        <w:right w:val="none" w:sz="0" w:space="0" w:color="auto"/>
      </w:divBdr>
    </w:div>
    <w:div w:id="781917380">
      <w:bodyDiv w:val="1"/>
      <w:marLeft w:val="0"/>
      <w:marRight w:val="0"/>
      <w:marTop w:val="0"/>
      <w:marBottom w:val="0"/>
      <w:divBdr>
        <w:top w:val="none" w:sz="0" w:space="0" w:color="auto"/>
        <w:left w:val="none" w:sz="0" w:space="0" w:color="auto"/>
        <w:bottom w:val="none" w:sz="0" w:space="0" w:color="auto"/>
        <w:right w:val="none" w:sz="0" w:space="0" w:color="auto"/>
      </w:divBdr>
      <w:divsChild>
        <w:div w:id="94441290">
          <w:marLeft w:val="360"/>
          <w:marRight w:val="0"/>
          <w:marTop w:val="200"/>
          <w:marBottom w:val="0"/>
          <w:divBdr>
            <w:top w:val="none" w:sz="0" w:space="0" w:color="auto"/>
            <w:left w:val="none" w:sz="0" w:space="0" w:color="auto"/>
            <w:bottom w:val="none" w:sz="0" w:space="0" w:color="auto"/>
            <w:right w:val="none" w:sz="0" w:space="0" w:color="auto"/>
          </w:divBdr>
        </w:div>
        <w:div w:id="350423192">
          <w:marLeft w:val="1080"/>
          <w:marRight w:val="0"/>
          <w:marTop w:val="0"/>
          <w:marBottom w:val="0"/>
          <w:divBdr>
            <w:top w:val="none" w:sz="0" w:space="0" w:color="auto"/>
            <w:left w:val="none" w:sz="0" w:space="0" w:color="auto"/>
            <w:bottom w:val="none" w:sz="0" w:space="0" w:color="auto"/>
            <w:right w:val="none" w:sz="0" w:space="0" w:color="auto"/>
          </w:divBdr>
        </w:div>
        <w:div w:id="196620585">
          <w:marLeft w:val="1080"/>
          <w:marRight w:val="0"/>
          <w:marTop w:val="0"/>
          <w:marBottom w:val="0"/>
          <w:divBdr>
            <w:top w:val="none" w:sz="0" w:space="0" w:color="auto"/>
            <w:left w:val="none" w:sz="0" w:space="0" w:color="auto"/>
            <w:bottom w:val="none" w:sz="0" w:space="0" w:color="auto"/>
            <w:right w:val="none" w:sz="0" w:space="0" w:color="auto"/>
          </w:divBdr>
        </w:div>
        <w:div w:id="1420715219">
          <w:marLeft w:val="1080"/>
          <w:marRight w:val="0"/>
          <w:marTop w:val="0"/>
          <w:marBottom w:val="0"/>
          <w:divBdr>
            <w:top w:val="none" w:sz="0" w:space="0" w:color="auto"/>
            <w:left w:val="none" w:sz="0" w:space="0" w:color="auto"/>
            <w:bottom w:val="none" w:sz="0" w:space="0" w:color="auto"/>
            <w:right w:val="none" w:sz="0" w:space="0" w:color="auto"/>
          </w:divBdr>
        </w:div>
        <w:div w:id="123893639">
          <w:marLeft w:val="1080"/>
          <w:marRight w:val="0"/>
          <w:marTop w:val="0"/>
          <w:marBottom w:val="0"/>
          <w:divBdr>
            <w:top w:val="none" w:sz="0" w:space="0" w:color="auto"/>
            <w:left w:val="none" w:sz="0" w:space="0" w:color="auto"/>
            <w:bottom w:val="none" w:sz="0" w:space="0" w:color="auto"/>
            <w:right w:val="none" w:sz="0" w:space="0" w:color="auto"/>
          </w:divBdr>
        </w:div>
      </w:divsChild>
    </w:div>
    <w:div w:id="793795743">
      <w:bodyDiv w:val="1"/>
      <w:marLeft w:val="0"/>
      <w:marRight w:val="0"/>
      <w:marTop w:val="0"/>
      <w:marBottom w:val="0"/>
      <w:divBdr>
        <w:top w:val="none" w:sz="0" w:space="0" w:color="auto"/>
        <w:left w:val="none" w:sz="0" w:space="0" w:color="auto"/>
        <w:bottom w:val="none" w:sz="0" w:space="0" w:color="auto"/>
        <w:right w:val="none" w:sz="0" w:space="0" w:color="auto"/>
      </w:divBdr>
    </w:div>
    <w:div w:id="805393344">
      <w:bodyDiv w:val="1"/>
      <w:marLeft w:val="0"/>
      <w:marRight w:val="0"/>
      <w:marTop w:val="0"/>
      <w:marBottom w:val="0"/>
      <w:divBdr>
        <w:top w:val="none" w:sz="0" w:space="0" w:color="auto"/>
        <w:left w:val="none" w:sz="0" w:space="0" w:color="auto"/>
        <w:bottom w:val="none" w:sz="0" w:space="0" w:color="auto"/>
        <w:right w:val="none" w:sz="0" w:space="0" w:color="auto"/>
      </w:divBdr>
      <w:divsChild>
        <w:div w:id="850602118">
          <w:marLeft w:val="547"/>
          <w:marRight w:val="0"/>
          <w:marTop w:val="0"/>
          <w:marBottom w:val="0"/>
          <w:divBdr>
            <w:top w:val="none" w:sz="0" w:space="0" w:color="auto"/>
            <w:left w:val="none" w:sz="0" w:space="0" w:color="auto"/>
            <w:bottom w:val="none" w:sz="0" w:space="0" w:color="auto"/>
            <w:right w:val="none" w:sz="0" w:space="0" w:color="auto"/>
          </w:divBdr>
        </w:div>
      </w:divsChild>
    </w:div>
    <w:div w:id="897323509">
      <w:bodyDiv w:val="1"/>
      <w:marLeft w:val="0"/>
      <w:marRight w:val="0"/>
      <w:marTop w:val="0"/>
      <w:marBottom w:val="0"/>
      <w:divBdr>
        <w:top w:val="none" w:sz="0" w:space="0" w:color="auto"/>
        <w:left w:val="none" w:sz="0" w:space="0" w:color="auto"/>
        <w:bottom w:val="none" w:sz="0" w:space="0" w:color="auto"/>
        <w:right w:val="none" w:sz="0" w:space="0" w:color="auto"/>
      </w:divBdr>
      <w:divsChild>
        <w:div w:id="1736665534">
          <w:marLeft w:val="360"/>
          <w:marRight w:val="0"/>
          <w:marTop w:val="200"/>
          <w:marBottom w:val="0"/>
          <w:divBdr>
            <w:top w:val="none" w:sz="0" w:space="0" w:color="auto"/>
            <w:left w:val="none" w:sz="0" w:space="0" w:color="auto"/>
            <w:bottom w:val="none" w:sz="0" w:space="0" w:color="auto"/>
            <w:right w:val="none" w:sz="0" w:space="0" w:color="auto"/>
          </w:divBdr>
        </w:div>
      </w:divsChild>
    </w:div>
    <w:div w:id="903759073">
      <w:bodyDiv w:val="1"/>
      <w:marLeft w:val="0"/>
      <w:marRight w:val="0"/>
      <w:marTop w:val="0"/>
      <w:marBottom w:val="0"/>
      <w:divBdr>
        <w:top w:val="none" w:sz="0" w:space="0" w:color="auto"/>
        <w:left w:val="none" w:sz="0" w:space="0" w:color="auto"/>
        <w:bottom w:val="none" w:sz="0" w:space="0" w:color="auto"/>
        <w:right w:val="none" w:sz="0" w:space="0" w:color="auto"/>
      </w:divBdr>
    </w:div>
    <w:div w:id="914968920">
      <w:bodyDiv w:val="1"/>
      <w:marLeft w:val="0"/>
      <w:marRight w:val="0"/>
      <w:marTop w:val="0"/>
      <w:marBottom w:val="0"/>
      <w:divBdr>
        <w:top w:val="none" w:sz="0" w:space="0" w:color="auto"/>
        <w:left w:val="none" w:sz="0" w:space="0" w:color="auto"/>
        <w:bottom w:val="none" w:sz="0" w:space="0" w:color="auto"/>
        <w:right w:val="none" w:sz="0" w:space="0" w:color="auto"/>
      </w:divBdr>
    </w:div>
    <w:div w:id="966006108">
      <w:bodyDiv w:val="1"/>
      <w:marLeft w:val="0"/>
      <w:marRight w:val="0"/>
      <w:marTop w:val="0"/>
      <w:marBottom w:val="0"/>
      <w:divBdr>
        <w:top w:val="none" w:sz="0" w:space="0" w:color="auto"/>
        <w:left w:val="none" w:sz="0" w:space="0" w:color="auto"/>
        <w:bottom w:val="none" w:sz="0" w:space="0" w:color="auto"/>
        <w:right w:val="none" w:sz="0" w:space="0" w:color="auto"/>
      </w:divBdr>
    </w:div>
    <w:div w:id="983394937">
      <w:bodyDiv w:val="1"/>
      <w:marLeft w:val="0"/>
      <w:marRight w:val="0"/>
      <w:marTop w:val="0"/>
      <w:marBottom w:val="0"/>
      <w:divBdr>
        <w:top w:val="none" w:sz="0" w:space="0" w:color="auto"/>
        <w:left w:val="none" w:sz="0" w:space="0" w:color="auto"/>
        <w:bottom w:val="none" w:sz="0" w:space="0" w:color="auto"/>
        <w:right w:val="none" w:sz="0" w:space="0" w:color="auto"/>
      </w:divBdr>
      <w:divsChild>
        <w:div w:id="1767649659">
          <w:marLeft w:val="720"/>
          <w:marRight w:val="0"/>
          <w:marTop w:val="120"/>
          <w:marBottom w:val="120"/>
          <w:divBdr>
            <w:top w:val="none" w:sz="0" w:space="0" w:color="auto"/>
            <w:left w:val="none" w:sz="0" w:space="0" w:color="auto"/>
            <w:bottom w:val="none" w:sz="0" w:space="0" w:color="auto"/>
            <w:right w:val="none" w:sz="0" w:space="0" w:color="auto"/>
          </w:divBdr>
        </w:div>
        <w:div w:id="615211069">
          <w:marLeft w:val="720"/>
          <w:marRight w:val="0"/>
          <w:marTop w:val="120"/>
          <w:marBottom w:val="120"/>
          <w:divBdr>
            <w:top w:val="none" w:sz="0" w:space="0" w:color="auto"/>
            <w:left w:val="none" w:sz="0" w:space="0" w:color="auto"/>
            <w:bottom w:val="none" w:sz="0" w:space="0" w:color="auto"/>
            <w:right w:val="none" w:sz="0" w:space="0" w:color="auto"/>
          </w:divBdr>
        </w:div>
        <w:div w:id="1689523139">
          <w:marLeft w:val="720"/>
          <w:marRight w:val="0"/>
          <w:marTop w:val="120"/>
          <w:marBottom w:val="120"/>
          <w:divBdr>
            <w:top w:val="none" w:sz="0" w:space="0" w:color="auto"/>
            <w:left w:val="none" w:sz="0" w:space="0" w:color="auto"/>
            <w:bottom w:val="none" w:sz="0" w:space="0" w:color="auto"/>
            <w:right w:val="none" w:sz="0" w:space="0" w:color="auto"/>
          </w:divBdr>
        </w:div>
        <w:div w:id="1660502207">
          <w:marLeft w:val="720"/>
          <w:marRight w:val="0"/>
          <w:marTop w:val="120"/>
          <w:marBottom w:val="120"/>
          <w:divBdr>
            <w:top w:val="none" w:sz="0" w:space="0" w:color="auto"/>
            <w:left w:val="none" w:sz="0" w:space="0" w:color="auto"/>
            <w:bottom w:val="none" w:sz="0" w:space="0" w:color="auto"/>
            <w:right w:val="none" w:sz="0" w:space="0" w:color="auto"/>
          </w:divBdr>
        </w:div>
        <w:div w:id="804811472">
          <w:marLeft w:val="720"/>
          <w:marRight w:val="0"/>
          <w:marTop w:val="120"/>
          <w:marBottom w:val="120"/>
          <w:divBdr>
            <w:top w:val="none" w:sz="0" w:space="0" w:color="auto"/>
            <w:left w:val="none" w:sz="0" w:space="0" w:color="auto"/>
            <w:bottom w:val="none" w:sz="0" w:space="0" w:color="auto"/>
            <w:right w:val="none" w:sz="0" w:space="0" w:color="auto"/>
          </w:divBdr>
        </w:div>
      </w:divsChild>
    </w:div>
    <w:div w:id="1113131727">
      <w:bodyDiv w:val="1"/>
      <w:marLeft w:val="0"/>
      <w:marRight w:val="0"/>
      <w:marTop w:val="0"/>
      <w:marBottom w:val="0"/>
      <w:divBdr>
        <w:top w:val="none" w:sz="0" w:space="0" w:color="auto"/>
        <w:left w:val="none" w:sz="0" w:space="0" w:color="auto"/>
        <w:bottom w:val="none" w:sz="0" w:space="0" w:color="auto"/>
        <w:right w:val="none" w:sz="0" w:space="0" w:color="auto"/>
      </w:divBdr>
    </w:div>
    <w:div w:id="1135441150">
      <w:bodyDiv w:val="1"/>
      <w:marLeft w:val="0"/>
      <w:marRight w:val="0"/>
      <w:marTop w:val="0"/>
      <w:marBottom w:val="0"/>
      <w:divBdr>
        <w:top w:val="none" w:sz="0" w:space="0" w:color="auto"/>
        <w:left w:val="none" w:sz="0" w:space="0" w:color="auto"/>
        <w:bottom w:val="none" w:sz="0" w:space="0" w:color="auto"/>
        <w:right w:val="none" w:sz="0" w:space="0" w:color="auto"/>
      </w:divBdr>
    </w:div>
    <w:div w:id="1138843193">
      <w:bodyDiv w:val="1"/>
      <w:marLeft w:val="0"/>
      <w:marRight w:val="0"/>
      <w:marTop w:val="0"/>
      <w:marBottom w:val="0"/>
      <w:divBdr>
        <w:top w:val="none" w:sz="0" w:space="0" w:color="auto"/>
        <w:left w:val="none" w:sz="0" w:space="0" w:color="auto"/>
        <w:bottom w:val="none" w:sz="0" w:space="0" w:color="auto"/>
        <w:right w:val="none" w:sz="0" w:space="0" w:color="auto"/>
      </w:divBdr>
    </w:div>
    <w:div w:id="1183129881">
      <w:bodyDiv w:val="1"/>
      <w:marLeft w:val="0"/>
      <w:marRight w:val="0"/>
      <w:marTop w:val="0"/>
      <w:marBottom w:val="0"/>
      <w:divBdr>
        <w:top w:val="none" w:sz="0" w:space="0" w:color="auto"/>
        <w:left w:val="none" w:sz="0" w:space="0" w:color="auto"/>
        <w:bottom w:val="none" w:sz="0" w:space="0" w:color="auto"/>
        <w:right w:val="none" w:sz="0" w:space="0" w:color="auto"/>
      </w:divBdr>
      <w:divsChild>
        <w:div w:id="1114248335">
          <w:marLeft w:val="360"/>
          <w:marRight w:val="0"/>
          <w:marTop w:val="200"/>
          <w:marBottom w:val="0"/>
          <w:divBdr>
            <w:top w:val="none" w:sz="0" w:space="0" w:color="auto"/>
            <w:left w:val="none" w:sz="0" w:space="0" w:color="auto"/>
            <w:bottom w:val="none" w:sz="0" w:space="0" w:color="auto"/>
            <w:right w:val="none" w:sz="0" w:space="0" w:color="auto"/>
          </w:divBdr>
        </w:div>
        <w:div w:id="593125748">
          <w:marLeft w:val="360"/>
          <w:marRight w:val="0"/>
          <w:marTop w:val="200"/>
          <w:marBottom w:val="0"/>
          <w:divBdr>
            <w:top w:val="none" w:sz="0" w:space="0" w:color="auto"/>
            <w:left w:val="none" w:sz="0" w:space="0" w:color="auto"/>
            <w:bottom w:val="none" w:sz="0" w:space="0" w:color="auto"/>
            <w:right w:val="none" w:sz="0" w:space="0" w:color="auto"/>
          </w:divBdr>
        </w:div>
        <w:div w:id="1257907950">
          <w:marLeft w:val="360"/>
          <w:marRight w:val="0"/>
          <w:marTop w:val="200"/>
          <w:marBottom w:val="0"/>
          <w:divBdr>
            <w:top w:val="none" w:sz="0" w:space="0" w:color="auto"/>
            <w:left w:val="none" w:sz="0" w:space="0" w:color="auto"/>
            <w:bottom w:val="none" w:sz="0" w:space="0" w:color="auto"/>
            <w:right w:val="none" w:sz="0" w:space="0" w:color="auto"/>
          </w:divBdr>
        </w:div>
        <w:div w:id="461970386">
          <w:marLeft w:val="360"/>
          <w:marRight w:val="0"/>
          <w:marTop w:val="200"/>
          <w:marBottom w:val="0"/>
          <w:divBdr>
            <w:top w:val="none" w:sz="0" w:space="0" w:color="auto"/>
            <w:left w:val="none" w:sz="0" w:space="0" w:color="auto"/>
            <w:bottom w:val="none" w:sz="0" w:space="0" w:color="auto"/>
            <w:right w:val="none" w:sz="0" w:space="0" w:color="auto"/>
          </w:divBdr>
        </w:div>
      </w:divsChild>
    </w:div>
    <w:div w:id="1228567431">
      <w:bodyDiv w:val="1"/>
      <w:marLeft w:val="0"/>
      <w:marRight w:val="0"/>
      <w:marTop w:val="0"/>
      <w:marBottom w:val="0"/>
      <w:divBdr>
        <w:top w:val="none" w:sz="0" w:space="0" w:color="auto"/>
        <w:left w:val="none" w:sz="0" w:space="0" w:color="auto"/>
        <w:bottom w:val="none" w:sz="0" w:space="0" w:color="auto"/>
        <w:right w:val="none" w:sz="0" w:space="0" w:color="auto"/>
      </w:divBdr>
    </w:div>
    <w:div w:id="1310094810">
      <w:bodyDiv w:val="1"/>
      <w:marLeft w:val="0"/>
      <w:marRight w:val="0"/>
      <w:marTop w:val="0"/>
      <w:marBottom w:val="0"/>
      <w:divBdr>
        <w:top w:val="none" w:sz="0" w:space="0" w:color="auto"/>
        <w:left w:val="none" w:sz="0" w:space="0" w:color="auto"/>
        <w:bottom w:val="none" w:sz="0" w:space="0" w:color="auto"/>
        <w:right w:val="none" w:sz="0" w:space="0" w:color="auto"/>
      </w:divBdr>
      <w:divsChild>
        <w:div w:id="367218126">
          <w:marLeft w:val="547"/>
          <w:marRight w:val="0"/>
          <w:marTop w:val="144"/>
          <w:marBottom w:val="0"/>
          <w:divBdr>
            <w:top w:val="none" w:sz="0" w:space="0" w:color="auto"/>
            <w:left w:val="none" w:sz="0" w:space="0" w:color="auto"/>
            <w:bottom w:val="none" w:sz="0" w:space="0" w:color="auto"/>
            <w:right w:val="none" w:sz="0" w:space="0" w:color="auto"/>
          </w:divBdr>
        </w:div>
        <w:div w:id="721825279">
          <w:marLeft w:val="547"/>
          <w:marRight w:val="0"/>
          <w:marTop w:val="144"/>
          <w:marBottom w:val="0"/>
          <w:divBdr>
            <w:top w:val="none" w:sz="0" w:space="0" w:color="auto"/>
            <w:left w:val="none" w:sz="0" w:space="0" w:color="auto"/>
            <w:bottom w:val="none" w:sz="0" w:space="0" w:color="auto"/>
            <w:right w:val="none" w:sz="0" w:space="0" w:color="auto"/>
          </w:divBdr>
        </w:div>
        <w:div w:id="2070226512">
          <w:marLeft w:val="547"/>
          <w:marRight w:val="0"/>
          <w:marTop w:val="144"/>
          <w:marBottom w:val="0"/>
          <w:divBdr>
            <w:top w:val="none" w:sz="0" w:space="0" w:color="auto"/>
            <w:left w:val="none" w:sz="0" w:space="0" w:color="auto"/>
            <w:bottom w:val="none" w:sz="0" w:space="0" w:color="auto"/>
            <w:right w:val="none" w:sz="0" w:space="0" w:color="auto"/>
          </w:divBdr>
        </w:div>
        <w:div w:id="115216438">
          <w:marLeft w:val="547"/>
          <w:marRight w:val="0"/>
          <w:marTop w:val="144"/>
          <w:marBottom w:val="0"/>
          <w:divBdr>
            <w:top w:val="none" w:sz="0" w:space="0" w:color="auto"/>
            <w:left w:val="none" w:sz="0" w:space="0" w:color="auto"/>
            <w:bottom w:val="none" w:sz="0" w:space="0" w:color="auto"/>
            <w:right w:val="none" w:sz="0" w:space="0" w:color="auto"/>
          </w:divBdr>
        </w:div>
        <w:div w:id="1061555986">
          <w:marLeft w:val="547"/>
          <w:marRight w:val="0"/>
          <w:marTop w:val="144"/>
          <w:marBottom w:val="0"/>
          <w:divBdr>
            <w:top w:val="none" w:sz="0" w:space="0" w:color="auto"/>
            <w:left w:val="none" w:sz="0" w:space="0" w:color="auto"/>
            <w:bottom w:val="none" w:sz="0" w:space="0" w:color="auto"/>
            <w:right w:val="none" w:sz="0" w:space="0" w:color="auto"/>
          </w:divBdr>
        </w:div>
        <w:div w:id="203255818">
          <w:marLeft w:val="547"/>
          <w:marRight w:val="0"/>
          <w:marTop w:val="144"/>
          <w:marBottom w:val="0"/>
          <w:divBdr>
            <w:top w:val="none" w:sz="0" w:space="0" w:color="auto"/>
            <w:left w:val="none" w:sz="0" w:space="0" w:color="auto"/>
            <w:bottom w:val="none" w:sz="0" w:space="0" w:color="auto"/>
            <w:right w:val="none" w:sz="0" w:space="0" w:color="auto"/>
          </w:divBdr>
        </w:div>
        <w:div w:id="1074356960">
          <w:marLeft w:val="360"/>
          <w:marRight w:val="0"/>
          <w:marTop w:val="200"/>
          <w:marBottom w:val="0"/>
          <w:divBdr>
            <w:top w:val="none" w:sz="0" w:space="0" w:color="auto"/>
            <w:left w:val="none" w:sz="0" w:space="0" w:color="auto"/>
            <w:bottom w:val="none" w:sz="0" w:space="0" w:color="auto"/>
            <w:right w:val="none" w:sz="0" w:space="0" w:color="auto"/>
          </w:divBdr>
        </w:div>
      </w:divsChild>
    </w:div>
    <w:div w:id="1342001185">
      <w:bodyDiv w:val="1"/>
      <w:marLeft w:val="0"/>
      <w:marRight w:val="0"/>
      <w:marTop w:val="0"/>
      <w:marBottom w:val="0"/>
      <w:divBdr>
        <w:top w:val="none" w:sz="0" w:space="0" w:color="auto"/>
        <w:left w:val="none" w:sz="0" w:space="0" w:color="auto"/>
        <w:bottom w:val="none" w:sz="0" w:space="0" w:color="auto"/>
        <w:right w:val="none" w:sz="0" w:space="0" w:color="auto"/>
      </w:divBdr>
      <w:divsChild>
        <w:div w:id="1946960947">
          <w:marLeft w:val="0"/>
          <w:marRight w:val="150"/>
          <w:marTop w:val="0"/>
          <w:marBottom w:val="0"/>
          <w:divBdr>
            <w:top w:val="none" w:sz="0" w:space="0" w:color="auto"/>
            <w:left w:val="none" w:sz="0" w:space="0" w:color="auto"/>
            <w:bottom w:val="none" w:sz="0" w:space="0" w:color="auto"/>
            <w:right w:val="none" w:sz="0" w:space="0" w:color="auto"/>
          </w:divBdr>
        </w:div>
        <w:div w:id="659889443">
          <w:marLeft w:val="0"/>
          <w:marRight w:val="0"/>
          <w:marTop w:val="0"/>
          <w:marBottom w:val="0"/>
          <w:divBdr>
            <w:top w:val="none" w:sz="0" w:space="0" w:color="auto"/>
            <w:left w:val="none" w:sz="0" w:space="0" w:color="auto"/>
            <w:bottom w:val="dotted" w:sz="6" w:space="2" w:color="CCCCCC"/>
            <w:right w:val="none" w:sz="0" w:space="0" w:color="auto"/>
          </w:divBdr>
          <w:divsChild>
            <w:div w:id="2093426614">
              <w:marLeft w:val="0"/>
              <w:marRight w:val="150"/>
              <w:marTop w:val="0"/>
              <w:marBottom w:val="0"/>
              <w:divBdr>
                <w:top w:val="none" w:sz="0" w:space="0" w:color="auto"/>
                <w:left w:val="none" w:sz="0" w:space="0" w:color="auto"/>
                <w:bottom w:val="none" w:sz="0" w:space="0" w:color="auto"/>
                <w:right w:val="none" w:sz="0" w:space="0" w:color="auto"/>
              </w:divBdr>
              <w:divsChild>
                <w:div w:id="106318089">
                  <w:marLeft w:val="0"/>
                  <w:marRight w:val="0"/>
                  <w:marTop w:val="0"/>
                  <w:marBottom w:val="75"/>
                  <w:divBdr>
                    <w:top w:val="none" w:sz="0" w:space="0" w:color="auto"/>
                    <w:left w:val="none" w:sz="0" w:space="0" w:color="auto"/>
                    <w:bottom w:val="none" w:sz="0" w:space="0" w:color="auto"/>
                    <w:right w:val="none" w:sz="0" w:space="0" w:color="auto"/>
                  </w:divBdr>
                </w:div>
              </w:divsChild>
            </w:div>
            <w:div w:id="567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8024">
      <w:bodyDiv w:val="1"/>
      <w:marLeft w:val="0"/>
      <w:marRight w:val="0"/>
      <w:marTop w:val="0"/>
      <w:marBottom w:val="0"/>
      <w:divBdr>
        <w:top w:val="none" w:sz="0" w:space="0" w:color="auto"/>
        <w:left w:val="none" w:sz="0" w:space="0" w:color="auto"/>
        <w:bottom w:val="none" w:sz="0" w:space="0" w:color="auto"/>
        <w:right w:val="none" w:sz="0" w:space="0" w:color="auto"/>
      </w:divBdr>
      <w:divsChild>
        <w:div w:id="1919441295">
          <w:marLeft w:val="288"/>
          <w:marRight w:val="0"/>
          <w:marTop w:val="0"/>
          <w:marBottom w:val="0"/>
          <w:divBdr>
            <w:top w:val="none" w:sz="0" w:space="0" w:color="auto"/>
            <w:left w:val="none" w:sz="0" w:space="0" w:color="auto"/>
            <w:bottom w:val="none" w:sz="0" w:space="0" w:color="auto"/>
            <w:right w:val="none" w:sz="0" w:space="0" w:color="auto"/>
          </w:divBdr>
        </w:div>
      </w:divsChild>
    </w:div>
    <w:div w:id="1466662042">
      <w:bodyDiv w:val="1"/>
      <w:marLeft w:val="0"/>
      <w:marRight w:val="0"/>
      <w:marTop w:val="0"/>
      <w:marBottom w:val="0"/>
      <w:divBdr>
        <w:top w:val="none" w:sz="0" w:space="0" w:color="auto"/>
        <w:left w:val="none" w:sz="0" w:space="0" w:color="auto"/>
        <w:bottom w:val="none" w:sz="0" w:space="0" w:color="auto"/>
        <w:right w:val="none" w:sz="0" w:space="0" w:color="auto"/>
      </w:divBdr>
    </w:div>
    <w:div w:id="1486240836">
      <w:bodyDiv w:val="1"/>
      <w:marLeft w:val="0"/>
      <w:marRight w:val="0"/>
      <w:marTop w:val="0"/>
      <w:marBottom w:val="0"/>
      <w:divBdr>
        <w:top w:val="none" w:sz="0" w:space="0" w:color="auto"/>
        <w:left w:val="none" w:sz="0" w:space="0" w:color="auto"/>
        <w:bottom w:val="none" w:sz="0" w:space="0" w:color="auto"/>
        <w:right w:val="none" w:sz="0" w:space="0" w:color="auto"/>
      </w:divBdr>
      <w:divsChild>
        <w:div w:id="224612360">
          <w:marLeft w:val="0"/>
          <w:marRight w:val="150"/>
          <w:marTop w:val="0"/>
          <w:marBottom w:val="0"/>
          <w:divBdr>
            <w:top w:val="none" w:sz="0" w:space="0" w:color="auto"/>
            <w:left w:val="none" w:sz="0" w:space="0" w:color="auto"/>
            <w:bottom w:val="none" w:sz="0" w:space="0" w:color="auto"/>
            <w:right w:val="none" w:sz="0" w:space="0" w:color="auto"/>
          </w:divBdr>
        </w:div>
      </w:divsChild>
    </w:div>
    <w:div w:id="1514565767">
      <w:bodyDiv w:val="1"/>
      <w:marLeft w:val="0"/>
      <w:marRight w:val="0"/>
      <w:marTop w:val="0"/>
      <w:marBottom w:val="0"/>
      <w:divBdr>
        <w:top w:val="none" w:sz="0" w:space="0" w:color="auto"/>
        <w:left w:val="none" w:sz="0" w:space="0" w:color="auto"/>
        <w:bottom w:val="none" w:sz="0" w:space="0" w:color="auto"/>
        <w:right w:val="none" w:sz="0" w:space="0" w:color="auto"/>
      </w:divBdr>
      <w:divsChild>
        <w:div w:id="1754425531">
          <w:marLeft w:val="0"/>
          <w:marRight w:val="150"/>
          <w:marTop w:val="0"/>
          <w:marBottom w:val="0"/>
          <w:divBdr>
            <w:top w:val="none" w:sz="0" w:space="0" w:color="auto"/>
            <w:left w:val="none" w:sz="0" w:space="0" w:color="auto"/>
            <w:bottom w:val="none" w:sz="0" w:space="0" w:color="auto"/>
            <w:right w:val="none" w:sz="0" w:space="0" w:color="auto"/>
          </w:divBdr>
        </w:div>
        <w:div w:id="1682197265">
          <w:marLeft w:val="0"/>
          <w:marRight w:val="0"/>
          <w:marTop w:val="0"/>
          <w:marBottom w:val="0"/>
          <w:divBdr>
            <w:top w:val="none" w:sz="0" w:space="0" w:color="auto"/>
            <w:left w:val="none" w:sz="0" w:space="0" w:color="auto"/>
            <w:bottom w:val="dotted" w:sz="6" w:space="2" w:color="CCCCCC"/>
            <w:right w:val="none" w:sz="0" w:space="0" w:color="auto"/>
          </w:divBdr>
          <w:divsChild>
            <w:div w:id="73624604">
              <w:marLeft w:val="0"/>
              <w:marRight w:val="150"/>
              <w:marTop w:val="0"/>
              <w:marBottom w:val="0"/>
              <w:divBdr>
                <w:top w:val="none" w:sz="0" w:space="0" w:color="auto"/>
                <w:left w:val="none" w:sz="0" w:space="0" w:color="auto"/>
                <w:bottom w:val="none" w:sz="0" w:space="0" w:color="auto"/>
                <w:right w:val="none" w:sz="0" w:space="0" w:color="auto"/>
              </w:divBdr>
              <w:divsChild>
                <w:div w:id="115217586">
                  <w:marLeft w:val="0"/>
                  <w:marRight w:val="0"/>
                  <w:marTop w:val="0"/>
                  <w:marBottom w:val="75"/>
                  <w:divBdr>
                    <w:top w:val="none" w:sz="0" w:space="0" w:color="auto"/>
                    <w:left w:val="none" w:sz="0" w:space="0" w:color="auto"/>
                    <w:bottom w:val="none" w:sz="0" w:space="0" w:color="auto"/>
                    <w:right w:val="none" w:sz="0" w:space="0" w:color="auto"/>
                  </w:divBdr>
                </w:div>
              </w:divsChild>
            </w:div>
            <w:div w:id="403068803">
              <w:marLeft w:val="0"/>
              <w:marRight w:val="0"/>
              <w:marTop w:val="0"/>
              <w:marBottom w:val="0"/>
              <w:divBdr>
                <w:top w:val="none" w:sz="0" w:space="0" w:color="auto"/>
                <w:left w:val="none" w:sz="0" w:space="0" w:color="auto"/>
                <w:bottom w:val="none" w:sz="0" w:space="0" w:color="auto"/>
                <w:right w:val="none" w:sz="0" w:space="0" w:color="auto"/>
              </w:divBdr>
            </w:div>
          </w:divsChild>
        </w:div>
        <w:div w:id="1177496321">
          <w:marLeft w:val="0"/>
          <w:marRight w:val="0"/>
          <w:marTop w:val="0"/>
          <w:marBottom w:val="0"/>
          <w:divBdr>
            <w:top w:val="none" w:sz="0" w:space="0" w:color="auto"/>
            <w:left w:val="none" w:sz="0" w:space="0" w:color="auto"/>
            <w:bottom w:val="dotted" w:sz="6" w:space="2" w:color="CCCCCC"/>
            <w:right w:val="none" w:sz="0" w:space="0" w:color="auto"/>
          </w:divBdr>
          <w:divsChild>
            <w:div w:id="1322392557">
              <w:marLeft w:val="0"/>
              <w:marRight w:val="150"/>
              <w:marTop w:val="0"/>
              <w:marBottom w:val="0"/>
              <w:divBdr>
                <w:top w:val="none" w:sz="0" w:space="0" w:color="auto"/>
                <w:left w:val="none" w:sz="0" w:space="0" w:color="auto"/>
                <w:bottom w:val="none" w:sz="0" w:space="0" w:color="auto"/>
                <w:right w:val="none" w:sz="0" w:space="0" w:color="auto"/>
              </w:divBdr>
              <w:divsChild>
                <w:div w:id="1632832315">
                  <w:marLeft w:val="0"/>
                  <w:marRight w:val="0"/>
                  <w:marTop w:val="0"/>
                  <w:marBottom w:val="75"/>
                  <w:divBdr>
                    <w:top w:val="none" w:sz="0" w:space="0" w:color="auto"/>
                    <w:left w:val="none" w:sz="0" w:space="0" w:color="auto"/>
                    <w:bottom w:val="none" w:sz="0" w:space="0" w:color="auto"/>
                    <w:right w:val="none" w:sz="0" w:space="0" w:color="auto"/>
                  </w:divBdr>
                </w:div>
              </w:divsChild>
            </w:div>
            <w:div w:id="1812167874">
              <w:marLeft w:val="0"/>
              <w:marRight w:val="0"/>
              <w:marTop w:val="0"/>
              <w:marBottom w:val="0"/>
              <w:divBdr>
                <w:top w:val="none" w:sz="0" w:space="0" w:color="auto"/>
                <w:left w:val="none" w:sz="0" w:space="0" w:color="auto"/>
                <w:bottom w:val="none" w:sz="0" w:space="0" w:color="auto"/>
                <w:right w:val="none" w:sz="0" w:space="0" w:color="auto"/>
              </w:divBdr>
            </w:div>
          </w:divsChild>
        </w:div>
        <w:div w:id="724763490">
          <w:marLeft w:val="0"/>
          <w:marRight w:val="0"/>
          <w:marTop w:val="0"/>
          <w:marBottom w:val="0"/>
          <w:divBdr>
            <w:top w:val="none" w:sz="0" w:space="0" w:color="auto"/>
            <w:left w:val="none" w:sz="0" w:space="0" w:color="auto"/>
            <w:bottom w:val="dotted" w:sz="6" w:space="2" w:color="CCCCCC"/>
            <w:right w:val="none" w:sz="0" w:space="0" w:color="auto"/>
          </w:divBdr>
          <w:divsChild>
            <w:div w:id="619334935">
              <w:marLeft w:val="0"/>
              <w:marRight w:val="150"/>
              <w:marTop w:val="0"/>
              <w:marBottom w:val="0"/>
              <w:divBdr>
                <w:top w:val="none" w:sz="0" w:space="0" w:color="auto"/>
                <w:left w:val="none" w:sz="0" w:space="0" w:color="auto"/>
                <w:bottom w:val="none" w:sz="0" w:space="0" w:color="auto"/>
                <w:right w:val="none" w:sz="0" w:space="0" w:color="auto"/>
              </w:divBdr>
              <w:divsChild>
                <w:div w:id="1526754132">
                  <w:marLeft w:val="0"/>
                  <w:marRight w:val="0"/>
                  <w:marTop w:val="0"/>
                  <w:marBottom w:val="75"/>
                  <w:divBdr>
                    <w:top w:val="none" w:sz="0" w:space="0" w:color="auto"/>
                    <w:left w:val="none" w:sz="0" w:space="0" w:color="auto"/>
                    <w:bottom w:val="none" w:sz="0" w:space="0" w:color="auto"/>
                    <w:right w:val="none" w:sz="0" w:space="0" w:color="auto"/>
                  </w:divBdr>
                </w:div>
              </w:divsChild>
            </w:div>
            <w:div w:id="2056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07492">
      <w:bodyDiv w:val="1"/>
      <w:marLeft w:val="0"/>
      <w:marRight w:val="0"/>
      <w:marTop w:val="0"/>
      <w:marBottom w:val="0"/>
      <w:divBdr>
        <w:top w:val="none" w:sz="0" w:space="0" w:color="auto"/>
        <w:left w:val="none" w:sz="0" w:space="0" w:color="auto"/>
        <w:bottom w:val="none" w:sz="0" w:space="0" w:color="auto"/>
        <w:right w:val="none" w:sz="0" w:space="0" w:color="auto"/>
      </w:divBdr>
      <w:divsChild>
        <w:div w:id="1631475437">
          <w:marLeft w:val="0"/>
          <w:marRight w:val="150"/>
          <w:marTop w:val="0"/>
          <w:marBottom w:val="0"/>
          <w:divBdr>
            <w:top w:val="none" w:sz="0" w:space="0" w:color="auto"/>
            <w:left w:val="none" w:sz="0" w:space="0" w:color="auto"/>
            <w:bottom w:val="none" w:sz="0" w:space="0" w:color="auto"/>
            <w:right w:val="none" w:sz="0" w:space="0" w:color="auto"/>
          </w:divBdr>
        </w:div>
      </w:divsChild>
    </w:div>
    <w:div w:id="1613392397">
      <w:bodyDiv w:val="1"/>
      <w:marLeft w:val="0"/>
      <w:marRight w:val="0"/>
      <w:marTop w:val="0"/>
      <w:marBottom w:val="0"/>
      <w:divBdr>
        <w:top w:val="none" w:sz="0" w:space="0" w:color="auto"/>
        <w:left w:val="none" w:sz="0" w:space="0" w:color="auto"/>
        <w:bottom w:val="none" w:sz="0" w:space="0" w:color="auto"/>
        <w:right w:val="none" w:sz="0" w:space="0" w:color="auto"/>
      </w:divBdr>
    </w:div>
    <w:div w:id="1682049160">
      <w:bodyDiv w:val="1"/>
      <w:marLeft w:val="0"/>
      <w:marRight w:val="0"/>
      <w:marTop w:val="0"/>
      <w:marBottom w:val="0"/>
      <w:divBdr>
        <w:top w:val="none" w:sz="0" w:space="0" w:color="auto"/>
        <w:left w:val="none" w:sz="0" w:space="0" w:color="auto"/>
        <w:bottom w:val="none" w:sz="0" w:space="0" w:color="auto"/>
        <w:right w:val="none" w:sz="0" w:space="0" w:color="auto"/>
      </w:divBdr>
    </w:div>
    <w:div w:id="1689796949">
      <w:bodyDiv w:val="1"/>
      <w:marLeft w:val="0"/>
      <w:marRight w:val="0"/>
      <w:marTop w:val="0"/>
      <w:marBottom w:val="0"/>
      <w:divBdr>
        <w:top w:val="none" w:sz="0" w:space="0" w:color="auto"/>
        <w:left w:val="none" w:sz="0" w:space="0" w:color="auto"/>
        <w:bottom w:val="none" w:sz="0" w:space="0" w:color="auto"/>
        <w:right w:val="none" w:sz="0" w:space="0" w:color="auto"/>
      </w:divBdr>
    </w:div>
    <w:div w:id="1793867421">
      <w:bodyDiv w:val="1"/>
      <w:marLeft w:val="0"/>
      <w:marRight w:val="0"/>
      <w:marTop w:val="0"/>
      <w:marBottom w:val="0"/>
      <w:divBdr>
        <w:top w:val="none" w:sz="0" w:space="0" w:color="auto"/>
        <w:left w:val="none" w:sz="0" w:space="0" w:color="auto"/>
        <w:bottom w:val="none" w:sz="0" w:space="0" w:color="auto"/>
        <w:right w:val="none" w:sz="0" w:space="0" w:color="auto"/>
      </w:divBdr>
      <w:divsChild>
        <w:div w:id="355354621">
          <w:marLeft w:val="288"/>
          <w:marRight w:val="0"/>
          <w:marTop w:val="0"/>
          <w:marBottom w:val="0"/>
          <w:divBdr>
            <w:top w:val="none" w:sz="0" w:space="0" w:color="auto"/>
            <w:left w:val="none" w:sz="0" w:space="0" w:color="auto"/>
            <w:bottom w:val="none" w:sz="0" w:space="0" w:color="auto"/>
            <w:right w:val="none" w:sz="0" w:space="0" w:color="auto"/>
          </w:divBdr>
        </w:div>
        <w:div w:id="444815612">
          <w:marLeft w:val="288"/>
          <w:marRight w:val="0"/>
          <w:marTop w:val="0"/>
          <w:marBottom w:val="0"/>
          <w:divBdr>
            <w:top w:val="none" w:sz="0" w:space="0" w:color="auto"/>
            <w:left w:val="none" w:sz="0" w:space="0" w:color="auto"/>
            <w:bottom w:val="none" w:sz="0" w:space="0" w:color="auto"/>
            <w:right w:val="none" w:sz="0" w:space="0" w:color="auto"/>
          </w:divBdr>
        </w:div>
        <w:div w:id="904488593">
          <w:marLeft w:val="288"/>
          <w:marRight w:val="0"/>
          <w:marTop w:val="0"/>
          <w:marBottom w:val="0"/>
          <w:divBdr>
            <w:top w:val="none" w:sz="0" w:space="0" w:color="auto"/>
            <w:left w:val="none" w:sz="0" w:space="0" w:color="auto"/>
            <w:bottom w:val="none" w:sz="0" w:space="0" w:color="auto"/>
            <w:right w:val="none" w:sz="0" w:space="0" w:color="auto"/>
          </w:divBdr>
        </w:div>
      </w:divsChild>
    </w:div>
    <w:div w:id="1797599137">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4">
          <w:marLeft w:val="0"/>
          <w:marRight w:val="150"/>
          <w:marTop w:val="0"/>
          <w:marBottom w:val="0"/>
          <w:divBdr>
            <w:top w:val="none" w:sz="0" w:space="0" w:color="auto"/>
            <w:left w:val="none" w:sz="0" w:space="0" w:color="auto"/>
            <w:bottom w:val="none" w:sz="0" w:space="0" w:color="auto"/>
            <w:right w:val="none" w:sz="0" w:space="0" w:color="auto"/>
          </w:divBdr>
        </w:div>
        <w:div w:id="449513242">
          <w:marLeft w:val="0"/>
          <w:marRight w:val="0"/>
          <w:marTop w:val="0"/>
          <w:marBottom w:val="0"/>
          <w:divBdr>
            <w:top w:val="none" w:sz="0" w:space="0" w:color="auto"/>
            <w:left w:val="none" w:sz="0" w:space="0" w:color="auto"/>
            <w:bottom w:val="dotted" w:sz="6" w:space="2" w:color="CCCCCC"/>
            <w:right w:val="none" w:sz="0" w:space="0" w:color="auto"/>
          </w:divBdr>
          <w:divsChild>
            <w:div w:id="879394377">
              <w:marLeft w:val="0"/>
              <w:marRight w:val="150"/>
              <w:marTop w:val="0"/>
              <w:marBottom w:val="0"/>
              <w:divBdr>
                <w:top w:val="none" w:sz="0" w:space="0" w:color="auto"/>
                <w:left w:val="none" w:sz="0" w:space="0" w:color="auto"/>
                <w:bottom w:val="none" w:sz="0" w:space="0" w:color="auto"/>
                <w:right w:val="none" w:sz="0" w:space="0" w:color="auto"/>
              </w:divBdr>
              <w:divsChild>
                <w:div w:id="1003316542">
                  <w:marLeft w:val="0"/>
                  <w:marRight w:val="0"/>
                  <w:marTop w:val="0"/>
                  <w:marBottom w:val="75"/>
                  <w:divBdr>
                    <w:top w:val="none" w:sz="0" w:space="0" w:color="auto"/>
                    <w:left w:val="none" w:sz="0" w:space="0" w:color="auto"/>
                    <w:bottom w:val="none" w:sz="0" w:space="0" w:color="auto"/>
                    <w:right w:val="none" w:sz="0" w:space="0" w:color="auto"/>
                  </w:divBdr>
                </w:div>
              </w:divsChild>
            </w:div>
            <w:div w:id="1813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6730">
      <w:bodyDiv w:val="1"/>
      <w:marLeft w:val="0"/>
      <w:marRight w:val="0"/>
      <w:marTop w:val="0"/>
      <w:marBottom w:val="0"/>
      <w:divBdr>
        <w:top w:val="none" w:sz="0" w:space="0" w:color="auto"/>
        <w:left w:val="none" w:sz="0" w:space="0" w:color="auto"/>
        <w:bottom w:val="none" w:sz="0" w:space="0" w:color="auto"/>
        <w:right w:val="none" w:sz="0" w:space="0" w:color="auto"/>
      </w:divBdr>
      <w:divsChild>
        <w:div w:id="1214464852">
          <w:marLeft w:val="360"/>
          <w:marRight w:val="0"/>
          <w:marTop w:val="200"/>
          <w:marBottom w:val="0"/>
          <w:divBdr>
            <w:top w:val="none" w:sz="0" w:space="0" w:color="auto"/>
            <w:left w:val="none" w:sz="0" w:space="0" w:color="auto"/>
            <w:bottom w:val="none" w:sz="0" w:space="0" w:color="auto"/>
            <w:right w:val="none" w:sz="0" w:space="0" w:color="auto"/>
          </w:divBdr>
        </w:div>
        <w:div w:id="295255722">
          <w:marLeft w:val="360"/>
          <w:marRight w:val="0"/>
          <w:marTop w:val="200"/>
          <w:marBottom w:val="0"/>
          <w:divBdr>
            <w:top w:val="none" w:sz="0" w:space="0" w:color="auto"/>
            <w:left w:val="none" w:sz="0" w:space="0" w:color="auto"/>
            <w:bottom w:val="none" w:sz="0" w:space="0" w:color="auto"/>
            <w:right w:val="none" w:sz="0" w:space="0" w:color="auto"/>
          </w:divBdr>
        </w:div>
        <w:div w:id="1058044636">
          <w:marLeft w:val="360"/>
          <w:marRight w:val="0"/>
          <w:marTop w:val="200"/>
          <w:marBottom w:val="0"/>
          <w:divBdr>
            <w:top w:val="none" w:sz="0" w:space="0" w:color="auto"/>
            <w:left w:val="none" w:sz="0" w:space="0" w:color="auto"/>
            <w:bottom w:val="none" w:sz="0" w:space="0" w:color="auto"/>
            <w:right w:val="none" w:sz="0" w:space="0" w:color="auto"/>
          </w:divBdr>
        </w:div>
      </w:divsChild>
    </w:div>
    <w:div w:id="1825656039">
      <w:bodyDiv w:val="1"/>
      <w:marLeft w:val="0"/>
      <w:marRight w:val="0"/>
      <w:marTop w:val="0"/>
      <w:marBottom w:val="0"/>
      <w:divBdr>
        <w:top w:val="none" w:sz="0" w:space="0" w:color="auto"/>
        <w:left w:val="none" w:sz="0" w:space="0" w:color="auto"/>
        <w:bottom w:val="none" w:sz="0" w:space="0" w:color="auto"/>
        <w:right w:val="none" w:sz="0" w:space="0" w:color="auto"/>
      </w:divBdr>
    </w:div>
    <w:div w:id="1853446718">
      <w:bodyDiv w:val="1"/>
      <w:marLeft w:val="0"/>
      <w:marRight w:val="0"/>
      <w:marTop w:val="0"/>
      <w:marBottom w:val="0"/>
      <w:divBdr>
        <w:top w:val="none" w:sz="0" w:space="0" w:color="auto"/>
        <w:left w:val="none" w:sz="0" w:space="0" w:color="auto"/>
        <w:bottom w:val="none" w:sz="0" w:space="0" w:color="auto"/>
        <w:right w:val="none" w:sz="0" w:space="0" w:color="auto"/>
      </w:divBdr>
      <w:divsChild>
        <w:div w:id="1911841993">
          <w:marLeft w:val="0"/>
          <w:marRight w:val="0"/>
          <w:marTop w:val="0"/>
          <w:marBottom w:val="0"/>
          <w:divBdr>
            <w:top w:val="none" w:sz="0" w:space="0" w:color="auto"/>
            <w:left w:val="none" w:sz="0" w:space="0" w:color="auto"/>
            <w:bottom w:val="dotted" w:sz="6" w:space="2" w:color="CCCCCC"/>
            <w:right w:val="none" w:sz="0" w:space="0" w:color="auto"/>
          </w:divBdr>
          <w:divsChild>
            <w:div w:id="1150636394">
              <w:marLeft w:val="0"/>
              <w:marRight w:val="0"/>
              <w:marTop w:val="0"/>
              <w:marBottom w:val="0"/>
              <w:divBdr>
                <w:top w:val="none" w:sz="0" w:space="0" w:color="auto"/>
                <w:left w:val="none" w:sz="0" w:space="0" w:color="auto"/>
                <w:bottom w:val="none" w:sz="0" w:space="0" w:color="auto"/>
                <w:right w:val="none" w:sz="0" w:space="0" w:color="auto"/>
              </w:divBdr>
            </w:div>
          </w:divsChild>
        </w:div>
        <w:div w:id="597324664">
          <w:marLeft w:val="0"/>
          <w:marRight w:val="0"/>
          <w:marTop w:val="0"/>
          <w:marBottom w:val="0"/>
          <w:divBdr>
            <w:top w:val="none" w:sz="0" w:space="0" w:color="auto"/>
            <w:left w:val="none" w:sz="0" w:space="0" w:color="auto"/>
            <w:bottom w:val="dotted" w:sz="6" w:space="2" w:color="CCCCCC"/>
            <w:right w:val="none" w:sz="0" w:space="0" w:color="auto"/>
          </w:divBdr>
          <w:divsChild>
            <w:div w:id="1179657528">
              <w:marLeft w:val="0"/>
              <w:marRight w:val="150"/>
              <w:marTop w:val="0"/>
              <w:marBottom w:val="0"/>
              <w:divBdr>
                <w:top w:val="none" w:sz="0" w:space="0" w:color="auto"/>
                <w:left w:val="none" w:sz="0" w:space="0" w:color="auto"/>
                <w:bottom w:val="none" w:sz="0" w:space="0" w:color="auto"/>
                <w:right w:val="none" w:sz="0" w:space="0" w:color="auto"/>
              </w:divBdr>
              <w:divsChild>
                <w:div w:id="683245048">
                  <w:marLeft w:val="0"/>
                  <w:marRight w:val="0"/>
                  <w:marTop w:val="0"/>
                  <w:marBottom w:val="75"/>
                  <w:divBdr>
                    <w:top w:val="none" w:sz="0" w:space="0" w:color="auto"/>
                    <w:left w:val="none" w:sz="0" w:space="0" w:color="auto"/>
                    <w:bottom w:val="none" w:sz="0" w:space="0" w:color="auto"/>
                    <w:right w:val="none" w:sz="0" w:space="0" w:color="auto"/>
                  </w:divBdr>
                </w:div>
              </w:divsChild>
            </w:div>
            <w:div w:id="20340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7340">
      <w:bodyDiv w:val="1"/>
      <w:marLeft w:val="0"/>
      <w:marRight w:val="0"/>
      <w:marTop w:val="0"/>
      <w:marBottom w:val="0"/>
      <w:divBdr>
        <w:top w:val="none" w:sz="0" w:space="0" w:color="auto"/>
        <w:left w:val="none" w:sz="0" w:space="0" w:color="auto"/>
        <w:bottom w:val="none" w:sz="0" w:space="0" w:color="auto"/>
        <w:right w:val="none" w:sz="0" w:space="0" w:color="auto"/>
      </w:divBdr>
      <w:divsChild>
        <w:div w:id="1627813711">
          <w:marLeft w:val="0"/>
          <w:marRight w:val="150"/>
          <w:marTop w:val="0"/>
          <w:marBottom w:val="0"/>
          <w:divBdr>
            <w:top w:val="none" w:sz="0" w:space="0" w:color="auto"/>
            <w:left w:val="none" w:sz="0" w:space="0" w:color="auto"/>
            <w:bottom w:val="none" w:sz="0" w:space="0" w:color="auto"/>
            <w:right w:val="none" w:sz="0" w:space="0" w:color="auto"/>
          </w:divBdr>
        </w:div>
        <w:div w:id="1828981583">
          <w:marLeft w:val="0"/>
          <w:marRight w:val="0"/>
          <w:marTop w:val="0"/>
          <w:marBottom w:val="0"/>
          <w:divBdr>
            <w:top w:val="none" w:sz="0" w:space="0" w:color="auto"/>
            <w:left w:val="none" w:sz="0" w:space="0" w:color="auto"/>
            <w:bottom w:val="dotted" w:sz="6" w:space="2" w:color="CCCCCC"/>
            <w:right w:val="none" w:sz="0" w:space="0" w:color="auto"/>
          </w:divBdr>
          <w:divsChild>
            <w:div w:id="35129881">
              <w:marLeft w:val="0"/>
              <w:marRight w:val="150"/>
              <w:marTop w:val="0"/>
              <w:marBottom w:val="0"/>
              <w:divBdr>
                <w:top w:val="none" w:sz="0" w:space="0" w:color="auto"/>
                <w:left w:val="none" w:sz="0" w:space="0" w:color="auto"/>
                <w:bottom w:val="none" w:sz="0" w:space="0" w:color="auto"/>
                <w:right w:val="none" w:sz="0" w:space="0" w:color="auto"/>
              </w:divBdr>
              <w:divsChild>
                <w:div w:id="1170171904">
                  <w:marLeft w:val="0"/>
                  <w:marRight w:val="0"/>
                  <w:marTop w:val="0"/>
                  <w:marBottom w:val="75"/>
                  <w:divBdr>
                    <w:top w:val="none" w:sz="0" w:space="0" w:color="auto"/>
                    <w:left w:val="none" w:sz="0" w:space="0" w:color="auto"/>
                    <w:bottom w:val="none" w:sz="0" w:space="0" w:color="auto"/>
                    <w:right w:val="none" w:sz="0" w:space="0" w:color="auto"/>
                  </w:divBdr>
                </w:div>
              </w:divsChild>
            </w:div>
            <w:div w:id="174699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59173">
      <w:bodyDiv w:val="1"/>
      <w:marLeft w:val="0"/>
      <w:marRight w:val="0"/>
      <w:marTop w:val="0"/>
      <w:marBottom w:val="0"/>
      <w:divBdr>
        <w:top w:val="none" w:sz="0" w:space="0" w:color="auto"/>
        <w:left w:val="none" w:sz="0" w:space="0" w:color="auto"/>
        <w:bottom w:val="none" w:sz="0" w:space="0" w:color="auto"/>
        <w:right w:val="none" w:sz="0" w:space="0" w:color="auto"/>
      </w:divBdr>
    </w:div>
    <w:div w:id="1957324560">
      <w:bodyDiv w:val="1"/>
      <w:marLeft w:val="0"/>
      <w:marRight w:val="0"/>
      <w:marTop w:val="0"/>
      <w:marBottom w:val="0"/>
      <w:divBdr>
        <w:top w:val="none" w:sz="0" w:space="0" w:color="auto"/>
        <w:left w:val="none" w:sz="0" w:space="0" w:color="auto"/>
        <w:bottom w:val="none" w:sz="0" w:space="0" w:color="auto"/>
        <w:right w:val="none" w:sz="0" w:space="0" w:color="auto"/>
      </w:divBdr>
      <w:divsChild>
        <w:div w:id="6174957">
          <w:marLeft w:val="0"/>
          <w:marRight w:val="150"/>
          <w:marTop w:val="0"/>
          <w:marBottom w:val="0"/>
          <w:divBdr>
            <w:top w:val="none" w:sz="0" w:space="0" w:color="auto"/>
            <w:left w:val="none" w:sz="0" w:space="0" w:color="auto"/>
            <w:bottom w:val="none" w:sz="0" w:space="0" w:color="auto"/>
            <w:right w:val="none" w:sz="0" w:space="0" w:color="auto"/>
          </w:divBdr>
        </w:div>
      </w:divsChild>
    </w:div>
    <w:div w:id="2068066104">
      <w:bodyDiv w:val="1"/>
      <w:marLeft w:val="0"/>
      <w:marRight w:val="0"/>
      <w:marTop w:val="0"/>
      <w:marBottom w:val="0"/>
      <w:divBdr>
        <w:top w:val="none" w:sz="0" w:space="0" w:color="auto"/>
        <w:left w:val="none" w:sz="0" w:space="0" w:color="auto"/>
        <w:bottom w:val="none" w:sz="0" w:space="0" w:color="auto"/>
        <w:right w:val="none" w:sz="0" w:space="0" w:color="auto"/>
      </w:divBdr>
    </w:div>
    <w:div w:id="2099861969">
      <w:bodyDiv w:val="1"/>
      <w:marLeft w:val="0"/>
      <w:marRight w:val="0"/>
      <w:marTop w:val="0"/>
      <w:marBottom w:val="0"/>
      <w:divBdr>
        <w:top w:val="none" w:sz="0" w:space="0" w:color="auto"/>
        <w:left w:val="none" w:sz="0" w:space="0" w:color="auto"/>
        <w:bottom w:val="none" w:sz="0" w:space="0" w:color="auto"/>
        <w:right w:val="none" w:sz="0" w:space="0" w:color="auto"/>
      </w:divBdr>
    </w:div>
    <w:div w:id="2127892514">
      <w:bodyDiv w:val="1"/>
      <w:marLeft w:val="0"/>
      <w:marRight w:val="0"/>
      <w:marTop w:val="0"/>
      <w:marBottom w:val="0"/>
      <w:divBdr>
        <w:top w:val="none" w:sz="0" w:space="0" w:color="auto"/>
        <w:left w:val="none" w:sz="0" w:space="0" w:color="auto"/>
        <w:bottom w:val="none" w:sz="0" w:space="0" w:color="auto"/>
        <w:right w:val="none" w:sz="0" w:space="0" w:color="auto"/>
      </w:divBdr>
    </w:div>
    <w:div w:id="21420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QuickStyle" Target="diagrams/quickStyle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microsoft.com/office/2007/relationships/diagramDrawing" Target="diagrams/drawing2.xml"/><Relationship Id="rId27" Type="http://schemas.openxmlformats.org/officeDocument/2006/relationships/image" Target="media/image4.emf"/></Relationships>
</file>

<file path=word/_rels/endnotes.xml.rels><?xml version="1.0" encoding="UTF-8" standalone="yes"?>
<Relationships xmlns="http://schemas.openxmlformats.org/package/2006/relationships"><Relationship Id="rId1" Type="http://schemas.openxmlformats.org/officeDocument/2006/relationships/hyperlink" Target="http://dx.doi.org/10.2471/BLT.19.24947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2A9DF2-E493-4F1B-84C3-1E801662CEEC}" type="doc">
      <dgm:prSet loTypeId="urn:microsoft.com/office/officeart/2005/8/layout/target2" loCatId="relationship" qsTypeId="urn:microsoft.com/office/officeart/2005/8/quickstyle/simple1" qsCatId="simple" csTypeId="urn:microsoft.com/office/officeart/2005/8/colors/accent1_5" csCatId="accent1" phldr="1"/>
      <dgm:spPr/>
      <dgm:t>
        <a:bodyPr/>
        <a:lstStyle/>
        <a:p>
          <a:endParaRPr lang="en-GB"/>
        </a:p>
      </dgm:t>
    </dgm:pt>
    <dgm:pt modelId="{E2CE688E-43E8-49F3-9A9C-9A1A9D5DF292}">
      <dgm:prSet phldrT="[Text]"/>
      <dgm:spPr>
        <a:solidFill>
          <a:schemeClr val="accent1">
            <a:lumMod val="40000"/>
            <a:lumOff val="60000"/>
            <a:alpha val="90000"/>
          </a:schemeClr>
        </a:solidFill>
      </dgm:spPr>
      <dgm:t>
        <a:bodyPr/>
        <a:lstStyle/>
        <a:p>
          <a:pPr algn="l">
            <a:buFont typeface="Wingdings" panose="05000000000000000000" pitchFamily="2" charset="2"/>
            <a:buChar char=""/>
          </a:pPr>
          <a:r>
            <a:rPr lang="en-GB" b="1">
              <a:solidFill>
                <a:sysClr val="windowText" lastClr="000000"/>
              </a:solidFill>
            </a:rPr>
            <a:t>Other SDGs (strong determinants of health outcomes) </a:t>
          </a:r>
          <a:r>
            <a:rPr lang="en-GB">
              <a:solidFill>
                <a:sysClr val="windowText" lastClr="000000"/>
              </a:solidFill>
            </a:rPr>
            <a:t>that PMNCH will contribute to and track:</a:t>
          </a:r>
        </a:p>
      </dgm:t>
    </dgm:pt>
    <dgm:pt modelId="{0C814741-1B94-462F-B56C-57CDD96B5F1A}" type="parTrans" cxnId="{241C693F-2CF0-4C2D-9F1A-171617E8F820}">
      <dgm:prSet/>
      <dgm:spPr/>
      <dgm:t>
        <a:bodyPr/>
        <a:lstStyle/>
        <a:p>
          <a:endParaRPr lang="en-GB"/>
        </a:p>
      </dgm:t>
    </dgm:pt>
    <dgm:pt modelId="{5840037D-A2B0-41F4-B87B-4AB9D5D9E5FD}" type="sibTrans" cxnId="{241C693F-2CF0-4C2D-9F1A-171617E8F820}">
      <dgm:prSet/>
      <dgm:spPr/>
      <dgm:t>
        <a:bodyPr/>
        <a:lstStyle/>
        <a:p>
          <a:endParaRPr lang="en-GB"/>
        </a:p>
      </dgm:t>
    </dgm:pt>
    <dgm:pt modelId="{5349F0FE-9D0C-438C-A778-A1346C8B2581}">
      <dgm:prSet phldrT="[Text]" custT="1"/>
      <dgm:spPr/>
      <dgm:t>
        <a:bodyPr/>
        <a:lstStyle/>
        <a:p>
          <a:pPr>
            <a:buFont typeface="Courier New" panose="02070309020205020404" pitchFamily="49" charset="0"/>
            <a:buChar char="o"/>
          </a:pPr>
          <a:r>
            <a:rPr lang="en-GB" sz="900" b="1"/>
            <a:t> SDG 1.1</a:t>
          </a:r>
          <a:r>
            <a:rPr lang="en-GB" sz="900"/>
            <a:t>: Poverty Reduction</a:t>
          </a:r>
        </a:p>
      </dgm:t>
    </dgm:pt>
    <dgm:pt modelId="{D4506113-5CE4-450F-8537-7D7B9EE2D9E5}" type="parTrans" cxnId="{A13CE138-8D79-4E6D-8BE7-06B903FE6D89}">
      <dgm:prSet/>
      <dgm:spPr/>
      <dgm:t>
        <a:bodyPr/>
        <a:lstStyle/>
        <a:p>
          <a:endParaRPr lang="en-GB"/>
        </a:p>
      </dgm:t>
    </dgm:pt>
    <dgm:pt modelId="{0217B117-0605-4E03-B303-B80574B35CA1}" type="sibTrans" cxnId="{A13CE138-8D79-4E6D-8BE7-06B903FE6D89}">
      <dgm:prSet/>
      <dgm:spPr/>
      <dgm:t>
        <a:bodyPr/>
        <a:lstStyle/>
        <a:p>
          <a:endParaRPr lang="en-GB"/>
        </a:p>
      </dgm:t>
    </dgm:pt>
    <dgm:pt modelId="{C08ECABC-9EC9-4C39-A548-C674AC906512}">
      <dgm:prSet phldrT="[Text]"/>
      <dgm:spPr/>
      <dgm:t>
        <a:bodyPr/>
        <a:lstStyle/>
        <a:p>
          <a:pPr algn="l"/>
          <a:r>
            <a:rPr lang="en-GB" b="1">
              <a:solidFill>
                <a:sysClr val="windowText" lastClr="000000"/>
              </a:solidFill>
            </a:rPr>
            <a:t>Priority SDG 3 targets and indicators for WCAH</a:t>
          </a:r>
          <a:r>
            <a:rPr lang="en-GB">
              <a:solidFill>
                <a:sysClr val="windowText" lastClr="000000"/>
              </a:solidFill>
            </a:rPr>
            <a:t> most linked to PMNCH’s three objectives of MNCH, SRHR &amp; Adolescents, with a particular focus on equity:</a:t>
          </a:r>
        </a:p>
      </dgm:t>
    </dgm:pt>
    <dgm:pt modelId="{830E9565-4418-4031-92E6-0E3420B8EE34}" type="parTrans" cxnId="{4A0FC4B1-F32E-4CA3-98A8-7891480CA4A4}">
      <dgm:prSet/>
      <dgm:spPr/>
      <dgm:t>
        <a:bodyPr/>
        <a:lstStyle/>
        <a:p>
          <a:endParaRPr lang="en-GB"/>
        </a:p>
      </dgm:t>
    </dgm:pt>
    <dgm:pt modelId="{0B2DFDCE-F77A-4E57-B426-90EEF553C55B}" type="sibTrans" cxnId="{4A0FC4B1-F32E-4CA3-98A8-7891480CA4A4}">
      <dgm:prSet/>
      <dgm:spPr/>
      <dgm:t>
        <a:bodyPr/>
        <a:lstStyle/>
        <a:p>
          <a:endParaRPr lang="en-GB"/>
        </a:p>
      </dgm:t>
    </dgm:pt>
    <dgm:pt modelId="{C8C2E157-58CA-4C57-A1D5-4D13E20BE5B3}">
      <dgm:prSet phldrT="[Text]" custT="1"/>
      <dgm:spPr/>
      <dgm:t>
        <a:bodyPr/>
        <a:lstStyle/>
        <a:p>
          <a:pPr>
            <a:buFont typeface="Courier New" panose="02070309020205020404" pitchFamily="49" charset="0"/>
            <a:buChar char="o"/>
          </a:pPr>
          <a:r>
            <a:rPr lang="en-GB" sz="900" b="1"/>
            <a:t> SDG 3.1</a:t>
          </a:r>
          <a:r>
            <a:rPr lang="en-GB" sz="900"/>
            <a:t>: reduction of maternal mortality; % births attended by skilled health personnel</a:t>
          </a:r>
        </a:p>
      </dgm:t>
    </dgm:pt>
    <dgm:pt modelId="{ADB7A2FD-F39C-4D3D-825B-2EE88701CDC2}" type="parTrans" cxnId="{1CEA145D-53C3-477C-A138-3CCB9570EE37}">
      <dgm:prSet/>
      <dgm:spPr/>
      <dgm:t>
        <a:bodyPr/>
        <a:lstStyle/>
        <a:p>
          <a:endParaRPr lang="en-GB"/>
        </a:p>
      </dgm:t>
    </dgm:pt>
    <dgm:pt modelId="{6E4AA7D1-9AC3-4894-8776-78F2849CC6A5}" type="sibTrans" cxnId="{1CEA145D-53C3-477C-A138-3CCB9570EE37}">
      <dgm:prSet/>
      <dgm:spPr/>
      <dgm:t>
        <a:bodyPr/>
        <a:lstStyle/>
        <a:p>
          <a:endParaRPr lang="en-GB"/>
        </a:p>
      </dgm:t>
    </dgm:pt>
    <dgm:pt modelId="{9A50ADE8-4BE4-4A1D-81C7-3832CB20D5A0}">
      <dgm:prSet custT="1"/>
      <dgm:spPr/>
      <dgm:t>
        <a:bodyPr/>
        <a:lstStyle/>
        <a:p>
          <a:pPr>
            <a:buFont typeface="Courier New" panose="02070309020205020404" pitchFamily="49" charset="0"/>
            <a:buChar char="o"/>
          </a:pPr>
          <a:r>
            <a:rPr lang="en-GB" sz="900" b="1"/>
            <a:t> SDG 3.2</a:t>
          </a:r>
          <a:r>
            <a:rPr lang="en-GB" sz="900"/>
            <a:t>: under-5 mortality; neo-natal mortality</a:t>
          </a:r>
        </a:p>
      </dgm:t>
    </dgm:pt>
    <dgm:pt modelId="{96C7BCB0-D345-4D4A-983F-8A9985E8D2AE}" type="parTrans" cxnId="{33641900-2770-4A30-836A-2C6E0210B259}">
      <dgm:prSet/>
      <dgm:spPr/>
      <dgm:t>
        <a:bodyPr/>
        <a:lstStyle/>
        <a:p>
          <a:endParaRPr lang="en-GB"/>
        </a:p>
      </dgm:t>
    </dgm:pt>
    <dgm:pt modelId="{DCC26EDA-A5D2-4335-845C-4AF10385DC31}" type="sibTrans" cxnId="{33641900-2770-4A30-836A-2C6E0210B259}">
      <dgm:prSet/>
      <dgm:spPr/>
      <dgm:t>
        <a:bodyPr/>
        <a:lstStyle/>
        <a:p>
          <a:endParaRPr lang="en-GB"/>
        </a:p>
      </dgm:t>
    </dgm:pt>
    <dgm:pt modelId="{1FF7DF19-8036-42FE-B3AF-51DF96721A65}">
      <dgm:prSet custT="1"/>
      <dgm:spPr/>
      <dgm:t>
        <a:bodyPr/>
        <a:lstStyle/>
        <a:p>
          <a:pPr>
            <a:buFont typeface="Courier New" panose="02070309020205020404" pitchFamily="49" charset="0"/>
            <a:buChar char="o"/>
          </a:pPr>
          <a:r>
            <a:rPr lang="en-GB" sz="900" b="1"/>
            <a:t> SDG 3.3</a:t>
          </a:r>
          <a:r>
            <a:rPr lang="en-GB" sz="900"/>
            <a:t>: reduction in communicable diseases, including HIV, TB and Malaria</a:t>
          </a:r>
        </a:p>
      </dgm:t>
    </dgm:pt>
    <dgm:pt modelId="{36E35BBE-ED08-4546-BC6C-B5DEC96E2A34}" type="parTrans" cxnId="{432B888E-5424-4D04-883F-88174307BAED}">
      <dgm:prSet/>
      <dgm:spPr/>
      <dgm:t>
        <a:bodyPr/>
        <a:lstStyle/>
        <a:p>
          <a:endParaRPr lang="en-GB"/>
        </a:p>
      </dgm:t>
    </dgm:pt>
    <dgm:pt modelId="{CFACA2A5-4CC5-4ED5-8684-7D939E23E4D1}" type="sibTrans" cxnId="{432B888E-5424-4D04-883F-88174307BAED}">
      <dgm:prSet/>
      <dgm:spPr/>
      <dgm:t>
        <a:bodyPr/>
        <a:lstStyle/>
        <a:p>
          <a:endParaRPr lang="en-GB"/>
        </a:p>
      </dgm:t>
    </dgm:pt>
    <dgm:pt modelId="{C21913AE-F559-4900-AA17-04483052124F}">
      <dgm:prSet custT="1"/>
      <dgm:spPr/>
      <dgm:t>
        <a:bodyPr/>
        <a:lstStyle/>
        <a:p>
          <a:pPr>
            <a:buFont typeface="Courier New" panose="02070309020205020404" pitchFamily="49" charset="0"/>
            <a:buChar char="o"/>
          </a:pPr>
          <a:r>
            <a:rPr lang="en-GB" sz="900" b="1"/>
            <a:t> SDG 3.7</a:t>
          </a:r>
          <a:r>
            <a:rPr lang="en-GB" sz="900"/>
            <a:t>: access to sexual and </a:t>
          </a:r>
          <a:r>
            <a:rPr lang="en-GB" sz="1000"/>
            <a:t>reproductive</a:t>
          </a:r>
          <a:r>
            <a:rPr lang="en-GB" sz="900"/>
            <a:t> health-care services; adolescent birth rates</a:t>
          </a:r>
        </a:p>
      </dgm:t>
    </dgm:pt>
    <dgm:pt modelId="{D217B8E3-6C9D-41D0-9198-B49305BDC616}" type="parTrans" cxnId="{E318D69C-2BA2-4DEC-BB0E-DAE9FF96E9D0}">
      <dgm:prSet/>
      <dgm:spPr/>
      <dgm:t>
        <a:bodyPr/>
        <a:lstStyle/>
        <a:p>
          <a:endParaRPr lang="en-GB"/>
        </a:p>
      </dgm:t>
    </dgm:pt>
    <dgm:pt modelId="{34DE2E06-C387-4668-A141-69809F37385E}" type="sibTrans" cxnId="{E318D69C-2BA2-4DEC-BB0E-DAE9FF96E9D0}">
      <dgm:prSet/>
      <dgm:spPr/>
      <dgm:t>
        <a:bodyPr/>
        <a:lstStyle/>
        <a:p>
          <a:endParaRPr lang="en-GB"/>
        </a:p>
      </dgm:t>
    </dgm:pt>
    <dgm:pt modelId="{156088D9-0536-4B0B-BEA7-A72B7E89570F}">
      <dgm:prSet custT="1"/>
      <dgm:spPr/>
      <dgm:t>
        <a:bodyPr/>
        <a:lstStyle/>
        <a:p>
          <a:pPr>
            <a:buFont typeface="Courier New" panose="02070309020205020404" pitchFamily="49" charset="0"/>
            <a:buChar char="o"/>
          </a:pPr>
          <a:r>
            <a:rPr lang="en-GB" sz="900" b="1"/>
            <a:t> SDG 3.8</a:t>
          </a:r>
          <a:r>
            <a:rPr lang="en-GB" sz="900"/>
            <a:t>: universal health coverage</a:t>
          </a:r>
        </a:p>
      </dgm:t>
    </dgm:pt>
    <dgm:pt modelId="{CBEA78CE-EA35-4351-940E-33E5C5335E70}" type="parTrans" cxnId="{E944163F-8FFF-4028-B696-65B7B02E635F}">
      <dgm:prSet/>
      <dgm:spPr/>
      <dgm:t>
        <a:bodyPr/>
        <a:lstStyle/>
        <a:p>
          <a:endParaRPr lang="en-GB"/>
        </a:p>
      </dgm:t>
    </dgm:pt>
    <dgm:pt modelId="{D9873C4C-9343-4646-A87B-538A09CB7851}" type="sibTrans" cxnId="{E944163F-8FFF-4028-B696-65B7B02E635F}">
      <dgm:prSet/>
      <dgm:spPr/>
      <dgm:t>
        <a:bodyPr/>
        <a:lstStyle/>
        <a:p>
          <a:endParaRPr lang="en-GB"/>
        </a:p>
      </dgm:t>
    </dgm:pt>
    <dgm:pt modelId="{E713C71C-FE18-401C-90A2-E6DC20AD11D8}">
      <dgm:prSet custT="1"/>
      <dgm:spPr/>
      <dgm:t>
        <a:bodyPr/>
        <a:lstStyle/>
        <a:p>
          <a:pPr>
            <a:buFont typeface="Courier New" panose="02070309020205020404" pitchFamily="49" charset="0"/>
            <a:buChar char="o"/>
          </a:pPr>
          <a:r>
            <a:rPr lang="en-GB" sz="900" b="1"/>
            <a:t> SDG 3.c</a:t>
          </a:r>
          <a:r>
            <a:rPr lang="en-GB" sz="900"/>
            <a:t>: increased health financing; increased health worker density and distribution</a:t>
          </a:r>
        </a:p>
      </dgm:t>
    </dgm:pt>
    <dgm:pt modelId="{C826952D-D06A-433F-9E75-81006C2C4338}" type="parTrans" cxnId="{596A09AE-C266-4238-BF3C-6DB20D4EEEB1}">
      <dgm:prSet/>
      <dgm:spPr/>
      <dgm:t>
        <a:bodyPr/>
        <a:lstStyle/>
        <a:p>
          <a:endParaRPr lang="en-GB"/>
        </a:p>
      </dgm:t>
    </dgm:pt>
    <dgm:pt modelId="{613AC894-63DB-407E-B3CF-377F109881E9}" type="sibTrans" cxnId="{596A09AE-C266-4238-BF3C-6DB20D4EEEB1}">
      <dgm:prSet/>
      <dgm:spPr/>
      <dgm:t>
        <a:bodyPr/>
        <a:lstStyle/>
        <a:p>
          <a:endParaRPr lang="en-GB"/>
        </a:p>
      </dgm:t>
    </dgm:pt>
    <dgm:pt modelId="{44A59BF1-561A-48E7-953D-3AF69C074530}">
      <dgm:prSet custT="1"/>
      <dgm:spPr/>
      <dgm:t>
        <a:bodyPr/>
        <a:lstStyle/>
        <a:p>
          <a:pPr>
            <a:buFont typeface="Courier New" panose="02070309020205020404" pitchFamily="49" charset="0"/>
            <a:buChar char="o"/>
          </a:pPr>
          <a:r>
            <a:rPr lang="en-GB" sz="900" b="1"/>
            <a:t> SDG 2.2</a:t>
          </a:r>
          <a:r>
            <a:rPr lang="en-GB" sz="900"/>
            <a:t>: Nutrition</a:t>
          </a:r>
        </a:p>
      </dgm:t>
    </dgm:pt>
    <dgm:pt modelId="{B424A5E4-076C-43B3-AD7D-A3CF99405892}" type="parTrans" cxnId="{9E91D482-FD08-4A7B-B42C-B5EEA1756270}">
      <dgm:prSet/>
      <dgm:spPr/>
      <dgm:t>
        <a:bodyPr/>
        <a:lstStyle/>
        <a:p>
          <a:endParaRPr lang="en-GB"/>
        </a:p>
      </dgm:t>
    </dgm:pt>
    <dgm:pt modelId="{5085CA1D-7401-4975-82FC-4A820127E9C7}" type="sibTrans" cxnId="{9E91D482-FD08-4A7B-B42C-B5EEA1756270}">
      <dgm:prSet/>
      <dgm:spPr/>
      <dgm:t>
        <a:bodyPr/>
        <a:lstStyle/>
        <a:p>
          <a:endParaRPr lang="en-GB"/>
        </a:p>
      </dgm:t>
    </dgm:pt>
    <dgm:pt modelId="{2C814C5D-C220-47A7-B6BA-BB033D3C50AB}">
      <dgm:prSet custT="1"/>
      <dgm:spPr/>
      <dgm:t>
        <a:bodyPr/>
        <a:lstStyle/>
        <a:p>
          <a:pPr>
            <a:buFont typeface="Courier New" panose="02070309020205020404" pitchFamily="49" charset="0"/>
            <a:buChar char="o"/>
          </a:pPr>
          <a:r>
            <a:rPr lang="en-GB" sz="900" b="1"/>
            <a:t> SDG 4.1</a:t>
          </a:r>
          <a:r>
            <a:rPr lang="en-GB" sz="900"/>
            <a:t>: Girls’ Education</a:t>
          </a:r>
        </a:p>
      </dgm:t>
    </dgm:pt>
    <dgm:pt modelId="{CFFD87C3-633D-42EF-8350-7E104535F29F}" type="parTrans" cxnId="{D59C15DA-CAE9-4BC1-9187-BA003B8E4707}">
      <dgm:prSet/>
      <dgm:spPr/>
      <dgm:t>
        <a:bodyPr/>
        <a:lstStyle/>
        <a:p>
          <a:endParaRPr lang="en-GB"/>
        </a:p>
      </dgm:t>
    </dgm:pt>
    <dgm:pt modelId="{63FDB93D-CDF6-4224-8694-FCD57ADF8C25}" type="sibTrans" cxnId="{D59C15DA-CAE9-4BC1-9187-BA003B8E4707}">
      <dgm:prSet/>
      <dgm:spPr/>
      <dgm:t>
        <a:bodyPr/>
        <a:lstStyle/>
        <a:p>
          <a:endParaRPr lang="en-GB"/>
        </a:p>
      </dgm:t>
    </dgm:pt>
    <dgm:pt modelId="{0CA26658-42FC-4F9D-BEB4-82CB9759E86E}">
      <dgm:prSet custT="1"/>
      <dgm:spPr/>
      <dgm:t>
        <a:bodyPr/>
        <a:lstStyle/>
        <a:p>
          <a:pPr>
            <a:buFont typeface="Courier New" panose="02070309020205020404" pitchFamily="49" charset="0"/>
            <a:buChar char="o"/>
          </a:pPr>
          <a:r>
            <a:rPr lang="en-GB" sz="900" b="1"/>
            <a:t> SDG 4.2</a:t>
          </a:r>
          <a:r>
            <a:rPr lang="en-GB" sz="900"/>
            <a:t>: Early Childhood Development</a:t>
          </a:r>
        </a:p>
      </dgm:t>
    </dgm:pt>
    <dgm:pt modelId="{9A037C3C-B8C7-4BAE-82EC-F3884B983EED}" type="parTrans" cxnId="{E3ABE87F-4A06-4124-A99D-CBB5815287D6}">
      <dgm:prSet/>
      <dgm:spPr/>
      <dgm:t>
        <a:bodyPr/>
        <a:lstStyle/>
        <a:p>
          <a:endParaRPr lang="en-GB"/>
        </a:p>
      </dgm:t>
    </dgm:pt>
    <dgm:pt modelId="{FC47E2A4-BFDE-43A8-8FD9-9BFF6B8A93D9}" type="sibTrans" cxnId="{E3ABE87F-4A06-4124-A99D-CBB5815287D6}">
      <dgm:prSet/>
      <dgm:spPr/>
      <dgm:t>
        <a:bodyPr/>
        <a:lstStyle/>
        <a:p>
          <a:endParaRPr lang="en-GB"/>
        </a:p>
      </dgm:t>
    </dgm:pt>
    <dgm:pt modelId="{C61CB21D-FB12-4FE7-BB33-917CA42B700C}">
      <dgm:prSet custT="1"/>
      <dgm:spPr/>
      <dgm:t>
        <a:bodyPr/>
        <a:lstStyle/>
        <a:p>
          <a:pPr>
            <a:buFont typeface="Courier New" panose="02070309020205020404" pitchFamily="49" charset="0"/>
            <a:buChar char="o"/>
          </a:pPr>
          <a:r>
            <a:rPr lang="en-GB" sz="900" b="1"/>
            <a:t> SDG 5</a:t>
          </a:r>
          <a:r>
            <a:rPr lang="en-GB" sz="900"/>
            <a:t>: Gender Equality</a:t>
          </a:r>
        </a:p>
      </dgm:t>
    </dgm:pt>
    <dgm:pt modelId="{99138C1D-2A42-4736-936F-DAEDB20982AF}" type="parTrans" cxnId="{8809CC3E-620B-4CB0-9AD6-D090EF52C7F3}">
      <dgm:prSet/>
      <dgm:spPr/>
      <dgm:t>
        <a:bodyPr/>
        <a:lstStyle/>
        <a:p>
          <a:endParaRPr lang="en-GB"/>
        </a:p>
      </dgm:t>
    </dgm:pt>
    <dgm:pt modelId="{D75B8D4A-9033-4D13-BC50-C06184E42556}" type="sibTrans" cxnId="{8809CC3E-620B-4CB0-9AD6-D090EF52C7F3}">
      <dgm:prSet/>
      <dgm:spPr/>
      <dgm:t>
        <a:bodyPr/>
        <a:lstStyle/>
        <a:p>
          <a:endParaRPr lang="en-GB"/>
        </a:p>
      </dgm:t>
    </dgm:pt>
    <dgm:pt modelId="{664F8FD0-7691-4C25-8D5A-4E082A586447}">
      <dgm:prSet custT="1"/>
      <dgm:spPr/>
      <dgm:t>
        <a:bodyPr/>
        <a:lstStyle/>
        <a:p>
          <a:pPr>
            <a:buFont typeface="Courier New" panose="02070309020205020404" pitchFamily="49" charset="0"/>
            <a:buChar char="o"/>
          </a:pPr>
          <a:r>
            <a:rPr lang="en-GB" sz="900" b="1"/>
            <a:t> SDG 6</a:t>
          </a:r>
          <a:r>
            <a:rPr lang="en-GB" sz="900"/>
            <a:t>: WASH</a:t>
          </a:r>
        </a:p>
      </dgm:t>
    </dgm:pt>
    <dgm:pt modelId="{D6483857-68D5-4E90-8498-68B06664EDCB}" type="parTrans" cxnId="{E0EAC68E-2C49-47C3-B904-A6097408AE00}">
      <dgm:prSet/>
      <dgm:spPr/>
      <dgm:t>
        <a:bodyPr/>
        <a:lstStyle/>
        <a:p>
          <a:endParaRPr lang="en-GB"/>
        </a:p>
      </dgm:t>
    </dgm:pt>
    <dgm:pt modelId="{4F379D75-2E6C-4DEF-9230-01A5714E3E66}" type="sibTrans" cxnId="{E0EAC68E-2C49-47C3-B904-A6097408AE00}">
      <dgm:prSet/>
      <dgm:spPr/>
      <dgm:t>
        <a:bodyPr/>
        <a:lstStyle/>
        <a:p>
          <a:endParaRPr lang="en-GB"/>
        </a:p>
      </dgm:t>
    </dgm:pt>
    <dgm:pt modelId="{48901B8C-35FA-4CE5-8908-449F0D2F4BAD}">
      <dgm:prSet custT="1"/>
      <dgm:spPr/>
      <dgm:t>
        <a:bodyPr/>
        <a:lstStyle/>
        <a:p>
          <a:pPr>
            <a:buFont typeface="Courier New" panose="02070309020205020404" pitchFamily="49" charset="0"/>
            <a:buChar char="o"/>
          </a:pPr>
          <a:r>
            <a:rPr lang="en-GB" sz="900" b="1"/>
            <a:t> SDG 16.2</a:t>
          </a:r>
          <a:r>
            <a:rPr lang="en-GB" sz="900"/>
            <a:t>: Violence Against Children</a:t>
          </a:r>
        </a:p>
      </dgm:t>
    </dgm:pt>
    <dgm:pt modelId="{FBE3B572-C1ED-4D7A-A49F-CC3250B0473E}" type="parTrans" cxnId="{8ED1EDE9-113A-4D9D-BF32-C364AA95709C}">
      <dgm:prSet/>
      <dgm:spPr/>
      <dgm:t>
        <a:bodyPr/>
        <a:lstStyle/>
        <a:p>
          <a:endParaRPr lang="en-GB"/>
        </a:p>
      </dgm:t>
    </dgm:pt>
    <dgm:pt modelId="{07601D33-A7E7-4B35-AD37-DBE8BAE06FDA}" type="sibTrans" cxnId="{8ED1EDE9-113A-4D9D-BF32-C364AA95709C}">
      <dgm:prSet/>
      <dgm:spPr/>
      <dgm:t>
        <a:bodyPr/>
        <a:lstStyle/>
        <a:p>
          <a:endParaRPr lang="en-GB"/>
        </a:p>
      </dgm:t>
    </dgm:pt>
    <dgm:pt modelId="{280850A7-8910-4965-8F38-4D5E93507166}">
      <dgm:prSet custT="1"/>
      <dgm:spPr/>
      <dgm:t>
        <a:bodyPr/>
        <a:lstStyle/>
        <a:p>
          <a:pPr>
            <a:buFont typeface="Courier New" panose="02070309020205020404" pitchFamily="49" charset="0"/>
            <a:buChar char="o"/>
          </a:pPr>
          <a:r>
            <a:rPr lang="en-GB" sz="900" b="1"/>
            <a:t> SDG 17</a:t>
          </a:r>
          <a:r>
            <a:rPr lang="en-GB" sz="900"/>
            <a:t>: Partnerships</a:t>
          </a:r>
        </a:p>
      </dgm:t>
    </dgm:pt>
    <dgm:pt modelId="{E68C73FB-AB81-4125-9D14-DEEBC9791F8F}" type="parTrans" cxnId="{BBD07705-EDA8-455A-B7FA-221A18DD99E5}">
      <dgm:prSet/>
      <dgm:spPr/>
      <dgm:t>
        <a:bodyPr/>
        <a:lstStyle/>
        <a:p>
          <a:endParaRPr lang="en-GB"/>
        </a:p>
      </dgm:t>
    </dgm:pt>
    <dgm:pt modelId="{D9AC72EE-4B92-48EA-8E5C-38E6BCE1116E}" type="sibTrans" cxnId="{BBD07705-EDA8-455A-B7FA-221A18DD99E5}">
      <dgm:prSet/>
      <dgm:spPr/>
      <dgm:t>
        <a:bodyPr/>
        <a:lstStyle/>
        <a:p>
          <a:endParaRPr lang="en-GB"/>
        </a:p>
      </dgm:t>
    </dgm:pt>
    <dgm:pt modelId="{38082086-2AAA-4472-BF0D-EDD9B68F968C}" type="pres">
      <dgm:prSet presAssocID="{EE2A9DF2-E493-4F1B-84C3-1E801662CEEC}" presName="Name0" presStyleCnt="0">
        <dgm:presLayoutVars>
          <dgm:chMax val="3"/>
          <dgm:chPref val="1"/>
          <dgm:dir/>
          <dgm:animLvl val="lvl"/>
          <dgm:resizeHandles/>
        </dgm:presLayoutVars>
      </dgm:prSet>
      <dgm:spPr/>
    </dgm:pt>
    <dgm:pt modelId="{477A152D-F76A-4383-A396-A74369CBDC2E}" type="pres">
      <dgm:prSet presAssocID="{EE2A9DF2-E493-4F1B-84C3-1E801662CEEC}" presName="outerBox" presStyleCnt="0"/>
      <dgm:spPr/>
    </dgm:pt>
    <dgm:pt modelId="{A78EBC57-C238-411B-9313-8616BBD6A16F}" type="pres">
      <dgm:prSet presAssocID="{EE2A9DF2-E493-4F1B-84C3-1E801662CEEC}" presName="outerBoxParent" presStyleLbl="node1" presStyleIdx="0" presStyleCnt="2" custLinFactNeighborY="-5371"/>
      <dgm:spPr/>
    </dgm:pt>
    <dgm:pt modelId="{A3985ABC-E75A-46D9-8E75-732B79C18730}" type="pres">
      <dgm:prSet presAssocID="{EE2A9DF2-E493-4F1B-84C3-1E801662CEEC}" presName="outerBoxChildren" presStyleCnt="0"/>
      <dgm:spPr/>
    </dgm:pt>
    <dgm:pt modelId="{CB6306C2-283C-4EC3-A717-429444BF5779}" type="pres">
      <dgm:prSet presAssocID="{5349F0FE-9D0C-438C-A778-A1346C8B2581}" presName="oChild" presStyleLbl="fgAcc1" presStyleIdx="0" presStyleCnt="14">
        <dgm:presLayoutVars>
          <dgm:bulletEnabled val="1"/>
        </dgm:presLayoutVars>
      </dgm:prSet>
      <dgm:spPr/>
    </dgm:pt>
    <dgm:pt modelId="{58A22A5F-731D-4EE5-A108-1B1DAD886256}" type="pres">
      <dgm:prSet presAssocID="{0217B117-0605-4E03-B303-B80574B35CA1}" presName="outerSibTrans" presStyleCnt="0"/>
      <dgm:spPr/>
    </dgm:pt>
    <dgm:pt modelId="{7AD48926-00B2-4255-B747-E453AE2FF49E}" type="pres">
      <dgm:prSet presAssocID="{44A59BF1-561A-48E7-953D-3AF69C074530}" presName="oChild" presStyleLbl="fgAcc1" presStyleIdx="1" presStyleCnt="14">
        <dgm:presLayoutVars>
          <dgm:bulletEnabled val="1"/>
        </dgm:presLayoutVars>
      </dgm:prSet>
      <dgm:spPr/>
    </dgm:pt>
    <dgm:pt modelId="{1A05D27F-2133-4DFB-8A2F-5E7BBB3022E6}" type="pres">
      <dgm:prSet presAssocID="{5085CA1D-7401-4975-82FC-4A820127E9C7}" presName="outerSibTrans" presStyleCnt="0"/>
      <dgm:spPr/>
    </dgm:pt>
    <dgm:pt modelId="{90E07812-8F53-4CA2-BBE2-8A4C89B6F21F}" type="pres">
      <dgm:prSet presAssocID="{2C814C5D-C220-47A7-B6BA-BB033D3C50AB}" presName="oChild" presStyleLbl="fgAcc1" presStyleIdx="2" presStyleCnt="14">
        <dgm:presLayoutVars>
          <dgm:bulletEnabled val="1"/>
        </dgm:presLayoutVars>
      </dgm:prSet>
      <dgm:spPr/>
    </dgm:pt>
    <dgm:pt modelId="{1B92EEC1-2FF9-43EB-A9CA-49FE2DF2C639}" type="pres">
      <dgm:prSet presAssocID="{63FDB93D-CDF6-4224-8694-FCD57ADF8C25}" presName="outerSibTrans" presStyleCnt="0"/>
      <dgm:spPr/>
    </dgm:pt>
    <dgm:pt modelId="{E2A34EF5-F5AA-4E4E-B4FC-B5FDFFF1665F}" type="pres">
      <dgm:prSet presAssocID="{0CA26658-42FC-4F9D-BEB4-82CB9759E86E}" presName="oChild" presStyleLbl="fgAcc1" presStyleIdx="3" presStyleCnt="14">
        <dgm:presLayoutVars>
          <dgm:bulletEnabled val="1"/>
        </dgm:presLayoutVars>
      </dgm:prSet>
      <dgm:spPr/>
    </dgm:pt>
    <dgm:pt modelId="{61754AC7-0236-4838-AFCC-F71E97DA19BF}" type="pres">
      <dgm:prSet presAssocID="{FC47E2A4-BFDE-43A8-8FD9-9BFF6B8A93D9}" presName="outerSibTrans" presStyleCnt="0"/>
      <dgm:spPr/>
    </dgm:pt>
    <dgm:pt modelId="{18C6AA0D-A675-41EA-967C-ED26A4EFCDF1}" type="pres">
      <dgm:prSet presAssocID="{C61CB21D-FB12-4FE7-BB33-917CA42B700C}" presName="oChild" presStyleLbl="fgAcc1" presStyleIdx="4" presStyleCnt="14">
        <dgm:presLayoutVars>
          <dgm:bulletEnabled val="1"/>
        </dgm:presLayoutVars>
      </dgm:prSet>
      <dgm:spPr/>
    </dgm:pt>
    <dgm:pt modelId="{E3B5ECE3-1E6B-4F93-B8B0-D87C5837D674}" type="pres">
      <dgm:prSet presAssocID="{D75B8D4A-9033-4D13-BC50-C06184E42556}" presName="outerSibTrans" presStyleCnt="0"/>
      <dgm:spPr/>
    </dgm:pt>
    <dgm:pt modelId="{4EA0067D-18F0-4453-BBEF-79FCF2C8D4B7}" type="pres">
      <dgm:prSet presAssocID="{664F8FD0-7691-4C25-8D5A-4E082A586447}" presName="oChild" presStyleLbl="fgAcc1" presStyleIdx="5" presStyleCnt="14">
        <dgm:presLayoutVars>
          <dgm:bulletEnabled val="1"/>
        </dgm:presLayoutVars>
      </dgm:prSet>
      <dgm:spPr/>
    </dgm:pt>
    <dgm:pt modelId="{625363C5-5AB9-4F37-8C17-C20C38EF48BA}" type="pres">
      <dgm:prSet presAssocID="{4F379D75-2E6C-4DEF-9230-01A5714E3E66}" presName="outerSibTrans" presStyleCnt="0"/>
      <dgm:spPr/>
    </dgm:pt>
    <dgm:pt modelId="{50AE1CD5-2A5C-4A78-A062-D75F5861767B}" type="pres">
      <dgm:prSet presAssocID="{48901B8C-35FA-4CE5-8908-449F0D2F4BAD}" presName="oChild" presStyleLbl="fgAcc1" presStyleIdx="6" presStyleCnt="14">
        <dgm:presLayoutVars>
          <dgm:bulletEnabled val="1"/>
        </dgm:presLayoutVars>
      </dgm:prSet>
      <dgm:spPr/>
    </dgm:pt>
    <dgm:pt modelId="{07A56E24-A4AA-46FB-99EE-8DA9B5B82BDD}" type="pres">
      <dgm:prSet presAssocID="{07601D33-A7E7-4B35-AD37-DBE8BAE06FDA}" presName="outerSibTrans" presStyleCnt="0"/>
      <dgm:spPr/>
    </dgm:pt>
    <dgm:pt modelId="{18D6F543-50AD-4664-858A-0B8209DC71E0}" type="pres">
      <dgm:prSet presAssocID="{280850A7-8910-4965-8F38-4D5E93507166}" presName="oChild" presStyleLbl="fgAcc1" presStyleIdx="7" presStyleCnt="14">
        <dgm:presLayoutVars>
          <dgm:bulletEnabled val="1"/>
        </dgm:presLayoutVars>
      </dgm:prSet>
      <dgm:spPr/>
    </dgm:pt>
    <dgm:pt modelId="{58135BE3-7599-4CD6-B192-2CD285126C3E}" type="pres">
      <dgm:prSet presAssocID="{EE2A9DF2-E493-4F1B-84C3-1E801662CEEC}" presName="middleBox" presStyleCnt="0"/>
      <dgm:spPr/>
    </dgm:pt>
    <dgm:pt modelId="{168292C7-F51A-4C61-8D04-F12C44B1AF26}" type="pres">
      <dgm:prSet presAssocID="{EE2A9DF2-E493-4F1B-84C3-1E801662CEEC}" presName="middleBoxParent" presStyleLbl="node1" presStyleIdx="1" presStyleCnt="2"/>
      <dgm:spPr/>
    </dgm:pt>
    <dgm:pt modelId="{C6EDD046-5F99-41D9-AC3E-83BF7302DCE5}" type="pres">
      <dgm:prSet presAssocID="{EE2A9DF2-E493-4F1B-84C3-1E801662CEEC}" presName="middleBoxChildren" presStyleCnt="0"/>
      <dgm:spPr/>
    </dgm:pt>
    <dgm:pt modelId="{4C5673A6-E518-476A-B836-534204BA1FB1}" type="pres">
      <dgm:prSet presAssocID="{C8C2E157-58CA-4C57-A1D5-4D13E20BE5B3}" presName="mChild" presStyleLbl="fgAcc1" presStyleIdx="8" presStyleCnt="14">
        <dgm:presLayoutVars>
          <dgm:bulletEnabled val="1"/>
        </dgm:presLayoutVars>
      </dgm:prSet>
      <dgm:spPr/>
    </dgm:pt>
    <dgm:pt modelId="{EF7868E2-3EA5-4582-BD45-24E9D4C73C99}" type="pres">
      <dgm:prSet presAssocID="{6E4AA7D1-9AC3-4894-8776-78F2849CC6A5}" presName="middleSibTrans" presStyleCnt="0"/>
      <dgm:spPr/>
    </dgm:pt>
    <dgm:pt modelId="{F8AC70FB-1672-4D42-8CB3-3186D7DDD03B}" type="pres">
      <dgm:prSet presAssocID="{9A50ADE8-4BE4-4A1D-81C7-3832CB20D5A0}" presName="mChild" presStyleLbl="fgAcc1" presStyleIdx="9" presStyleCnt="14">
        <dgm:presLayoutVars>
          <dgm:bulletEnabled val="1"/>
        </dgm:presLayoutVars>
      </dgm:prSet>
      <dgm:spPr/>
    </dgm:pt>
    <dgm:pt modelId="{0CF1D696-7BAA-4D73-B480-25686F0F77F1}" type="pres">
      <dgm:prSet presAssocID="{DCC26EDA-A5D2-4335-845C-4AF10385DC31}" presName="middleSibTrans" presStyleCnt="0"/>
      <dgm:spPr/>
    </dgm:pt>
    <dgm:pt modelId="{9624CA3D-8249-4660-9018-808FE9AAE79E}" type="pres">
      <dgm:prSet presAssocID="{1FF7DF19-8036-42FE-B3AF-51DF96721A65}" presName="mChild" presStyleLbl="fgAcc1" presStyleIdx="10" presStyleCnt="14">
        <dgm:presLayoutVars>
          <dgm:bulletEnabled val="1"/>
        </dgm:presLayoutVars>
      </dgm:prSet>
      <dgm:spPr/>
    </dgm:pt>
    <dgm:pt modelId="{7FA89F67-846B-4D8D-BF09-0558849C54C5}" type="pres">
      <dgm:prSet presAssocID="{CFACA2A5-4CC5-4ED5-8684-7D939E23E4D1}" presName="middleSibTrans" presStyleCnt="0"/>
      <dgm:spPr/>
    </dgm:pt>
    <dgm:pt modelId="{07D4E684-65D4-40A8-AE6C-94342B2435EF}" type="pres">
      <dgm:prSet presAssocID="{C21913AE-F559-4900-AA17-04483052124F}" presName="mChild" presStyleLbl="fgAcc1" presStyleIdx="11" presStyleCnt="14">
        <dgm:presLayoutVars>
          <dgm:bulletEnabled val="1"/>
        </dgm:presLayoutVars>
      </dgm:prSet>
      <dgm:spPr/>
    </dgm:pt>
    <dgm:pt modelId="{191A3072-8146-44AD-8697-DDA87F2EF7EC}" type="pres">
      <dgm:prSet presAssocID="{34DE2E06-C387-4668-A141-69809F37385E}" presName="middleSibTrans" presStyleCnt="0"/>
      <dgm:spPr/>
    </dgm:pt>
    <dgm:pt modelId="{FC7342DE-9EDB-4767-8F11-0275FEBA0DF4}" type="pres">
      <dgm:prSet presAssocID="{156088D9-0536-4B0B-BEA7-A72B7E89570F}" presName="mChild" presStyleLbl="fgAcc1" presStyleIdx="12" presStyleCnt="14">
        <dgm:presLayoutVars>
          <dgm:bulletEnabled val="1"/>
        </dgm:presLayoutVars>
      </dgm:prSet>
      <dgm:spPr/>
    </dgm:pt>
    <dgm:pt modelId="{5E36FC11-8826-4004-B87E-149DA034B8C2}" type="pres">
      <dgm:prSet presAssocID="{D9873C4C-9343-4646-A87B-538A09CB7851}" presName="middleSibTrans" presStyleCnt="0"/>
      <dgm:spPr/>
    </dgm:pt>
    <dgm:pt modelId="{4A802827-EA36-4B74-9015-4C652FF39AB0}" type="pres">
      <dgm:prSet presAssocID="{E713C71C-FE18-401C-90A2-E6DC20AD11D8}" presName="mChild" presStyleLbl="fgAcc1" presStyleIdx="13" presStyleCnt="14">
        <dgm:presLayoutVars>
          <dgm:bulletEnabled val="1"/>
        </dgm:presLayoutVars>
      </dgm:prSet>
      <dgm:spPr/>
    </dgm:pt>
  </dgm:ptLst>
  <dgm:cxnLst>
    <dgm:cxn modelId="{33641900-2770-4A30-836A-2C6E0210B259}" srcId="{C08ECABC-9EC9-4C39-A548-C674AC906512}" destId="{9A50ADE8-4BE4-4A1D-81C7-3832CB20D5A0}" srcOrd="1" destOrd="0" parTransId="{96C7BCB0-D345-4D4A-983F-8A9985E8D2AE}" sibTransId="{DCC26EDA-A5D2-4335-845C-4AF10385DC31}"/>
    <dgm:cxn modelId="{BBD07705-EDA8-455A-B7FA-221A18DD99E5}" srcId="{E2CE688E-43E8-49F3-9A9C-9A1A9D5DF292}" destId="{280850A7-8910-4965-8F38-4D5E93507166}" srcOrd="7" destOrd="0" parTransId="{E68C73FB-AB81-4125-9D14-DEEBC9791F8F}" sibTransId="{D9AC72EE-4B92-48EA-8E5C-38E6BCE1116E}"/>
    <dgm:cxn modelId="{1BB9E614-F619-4E4F-99ED-5CEA42A7832A}" type="presOf" srcId="{C61CB21D-FB12-4FE7-BB33-917CA42B700C}" destId="{18C6AA0D-A675-41EA-967C-ED26A4EFCDF1}" srcOrd="0" destOrd="0" presId="urn:microsoft.com/office/officeart/2005/8/layout/target2"/>
    <dgm:cxn modelId="{C1486819-660D-4132-9746-83213A419262}" type="presOf" srcId="{9A50ADE8-4BE4-4A1D-81C7-3832CB20D5A0}" destId="{F8AC70FB-1672-4D42-8CB3-3186D7DDD03B}" srcOrd="0" destOrd="0" presId="urn:microsoft.com/office/officeart/2005/8/layout/target2"/>
    <dgm:cxn modelId="{A13CE138-8D79-4E6D-8BE7-06B903FE6D89}" srcId="{E2CE688E-43E8-49F3-9A9C-9A1A9D5DF292}" destId="{5349F0FE-9D0C-438C-A778-A1346C8B2581}" srcOrd="0" destOrd="0" parTransId="{D4506113-5CE4-450F-8537-7D7B9EE2D9E5}" sibTransId="{0217B117-0605-4E03-B303-B80574B35CA1}"/>
    <dgm:cxn modelId="{8809CC3E-620B-4CB0-9AD6-D090EF52C7F3}" srcId="{E2CE688E-43E8-49F3-9A9C-9A1A9D5DF292}" destId="{C61CB21D-FB12-4FE7-BB33-917CA42B700C}" srcOrd="4" destOrd="0" parTransId="{99138C1D-2A42-4736-936F-DAEDB20982AF}" sibTransId="{D75B8D4A-9033-4D13-BC50-C06184E42556}"/>
    <dgm:cxn modelId="{E944163F-8FFF-4028-B696-65B7B02E635F}" srcId="{C08ECABC-9EC9-4C39-A548-C674AC906512}" destId="{156088D9-0536-4B0B-BEA7-A72B7E89570F}" srcOrd="4" destOrd="0" parTransId="{CBEA78CE-EA35-4351-940E-33E5C5335E70}" sibTransId="{D9873C4C-9343-4646-A87B-538A09CB7851}"/>
    <dgm:cxn modelId="{241C693F-2CF0-4C2D-9F1A-171617E8F820}" srcId="{EE2A9DF2-E493-4F1B-84C3-1E801662CEEC}" destId="{E2CE688E-43E8-49F3-9A9C-9A1A9D5DF292}" srcOrd="0" destOrd="0" parTransId="{0C814741-1B94-462F-B56C-57CDD96B5F1A}" sibTransId="{5840037D-A2B0-41F4-B87B-4AB9D5D9E5FD}"/>
    <dgm:cxn modelId="{1CEA145D-53C3-477C-A138-3CCB9570EE37}" srcId="{C08ECABC-9EC9-4C39-A548-C674AC906512}" destId="{C8C2E157-58CA-4C57-A1D5-4D13E20BE5B3}" srcOrd="0" destOrd="0" parTransId="{ADB7A2FD-F39C-4D3D-825B-2EE88701CDC2}" sibTransId="{6E4AA7D1-9AC3-4894-8776-78F2849CC6A5}"/>
    <dgm:cxn modelId="{180BC260-F5BE-4703-8761-139180742906}" type="presOf" srcId="{280850A7-8910-4965-8F38-4D5E93507166}" destId="{18D6F543-50AD-4664-858A-0B8209DC71E0}" srcOrd="0" destOrd="0" presId="urn:microsoft.com/office/officeart/2005/8/layout/target2"/>
    <dgm:cxn modelId="{62066A61-EEFA-4965-B2A6-237986C1AEAE}" type="presOf" srcId="{5349F0FE-9D0C-438C-A778-A1346C8B2581}" destId="{CB6306C2-283C-4EC3-A717-429444BF5779}" srcOrd="0" destOrd="0" presId="urn:microsoft.com/office/officeart/2005/8/layout/target2"/>
    <dgm:cxn modelId="{A7291E63-2CEE-4151-A461-E019E1AFA16C}" type="presOf" srcId="{C21913AE-F559-4900-AA17-04483052124F}" destId="{07D4E684-65D4-40A8-AE6C-94342B2435EF}" srcOrd="0" destOrd="0" presId="urn:microsoft.com/office/officeart/2005/8/layout/target2"/>
    <dgm:cxn modelId="{7B01C263-88CE-4D30-8A77-31BBFFFFF97B}" type="presOf" srcId="{C08ECABC-9EC9-4C39-A548-C674AC906512}" destId="{168292C7-F51A-4C61-8D04-F12C44B1AF26}" srcOrd="0" destOrd="0" presId="urn:microsoft.com/office/officeart/2005/8/layout/target2"/>
    <dgm:cxn modelId="{EB695647-8822-40E6-B550-7782DAB6A5CF}" type="presOf" srcId="{44A59BF1-561A-48E7-953D-3AF69C074530}" destId="{7AD48926-00B2-4255-B747-E453AE2FF49E}" srcOrd="0" destOrd="0" presId="urn:microsoft.com/office/officeart/2005/8/layout/target2"/>
    <dgm:cxn modelId="{9061234F-46DD-401F-9FEB-9A7DB78001D8}" type="presOf" srcId="{48901B8C-35FA-4CE5-8908-449F0D2F4BAD}" destId="{50AE1CD5-2A5C-4A78-A062-D75F5861767B}" srcOrd="0" destOrd="0" presId="urn:microsoft.com/office/officeart/2005/8/layout/target2"/>
    <dgm:cxn modelId="{651AC27D-EFE7-4BA3-9B9C-A00C9A5F867B}" type="presOf" srcId="{E2CE688E-43E8-49F3-9A9C-9A1A9D5DF292}" destId="{A78EBC57-C238-411B-9313-8616BBD6A16F}" srcOrd="0" destOrd="0" presId="urn:microsoft.com/office/officeart/2005/8/layout/target2"/>
    <dgm:cxn modelId="{E3ABE87F-4A06-4124-A99D-CBB5815287D6}" srcId="{E2CE688E-43E8-49F3-9A9C-9A1A9D5DF292}" destId="{0CA26658-42FC-4F9D-BEB4-82CB9759E86E}" srcOrd="3" destOrd="0" parTransId="{9A037C3C-B8C7-4BAE-82EC-F3884B983EED}" sibTransId="{FC47E2A4-BFDE-43A8-8FD9-9BFF6B8A93D9}"/>
    <dgm:cxn modelId="{9E91D482-FD08-4A7B-B42C-B5EEA1756270}" srcId="{E2CE688E-43E8-49F3-9A9C-9A1A9D5DF292}" destId="{44A59BF1-561A-48E7-953D-3AF69C074530}" srcOrd="1" destOrd="0" parTransId="{B424A5E4-076C-43B3-AD7D-A3CF99405892}" sibTransId="{5085CA1D-7401-4975-82FC-4A820127E9C7}"/>
    <dgm:cxn modelId="{432B888E-5424-4D04-883F-88174307BAED}" srcId="{C08ECABC-9EC9-4C39-A548-C674AC906512}" destId="{1FF7DF19-8036-42FE-B3AF-51DF96721A65}" srcOrd="2" destOrd="0" parTransId="{36E35BBE-ED08-4546-BC6C-B5DEC96E2A34}" sibTransId="{CFACA2A5-4CC5-4ED5-8684-7D939E23E4D1}"/>
    <dgm:cxn modelId="{E0EAC68E-2C49-47C3-B904-A6097408AE00}" srcId="{E2CE688E-43E8-49F3-9A9C-9A1A9D5DF292}" destId="{664F8FD0-7691-4C25-8D5A-4E082A586447}" srcOrd="5" destOrd="0" parTransId="{D6483857-68D5-4E90-8498-68B06664EDCB}" sibTransId="{4F379D75-2E6C-4DEF-9230-01A5714E3E66}"/>
    <dgm:cxn modelId="{6E1FF194-4C52-4BFF-BC4E-6A61ED9E7556}" type="presOf" srcId="{0CA26658-42FC-4F9D-BEB4-82CB9759E86E}" destId="{E2A34EF5-F5AA-4E4E-B4FC-B5FDFFF1665F}" srcOrd="0" destOrd="0" presId="urn:microsoft.com/office/officeart/2005/8/layout/target2"/>
    <dgm:cxn modelId="{85E68C97-8458-47A1-B6FB-1FE51021FA19}" type="presOf" srcId="{2C814C5D-C220-47A7-B6BA-BB033D3C50AB}" destId="{90E07812-8F53-4CA2-BBE2-8A4C89B6F21F}" srcOrd="0" destOrd="0" presId="urn:microsoft.com/office/officeart/2005/8/layout/target2"/>
    <dgm:cxn modelId="{E318D69C-2BA2-4DEC-BB0E-DAE9FF96E9D0}" srcId="{C08ECABC-9EC9-4C39-A548-C674AC906512}" destId="{C21913AE-F559-4900-AA17-04483052124F}" srcOrd="3" destOrd="0" parTransId="{D217B8E3-6C9D-41D0-9198-B49305BDC616}" sibTransId="{34DE2E06-C387-4668-A141-69809F37385E}"/>
    <dgm:cxn modelId="{C31EF8AD-1723-4860-8F70-DC44F7753109}" type="presOf" srcId="{1FF7DF19-8036-42FE-B3AF-51DF96721A65}" destId="{9624CA3D-8249-4660-9018-808FE9AAE79E}" srcOrd="0" destOrd="0" presId="urn:microsoft.com/office/officeart/2005/8/layout/target2"/>
    <dgm:cxn modelId="{596A09AE-C266-4238-BF3C-6DB20D4EEEB1}" srcId="{C08ECABC-9EC9-4C39-A548-C674AC906512}" destId="{E713C71C-FE18-401C-90A2-E6DC20AD11D8}" srcOrd="5" destOrd="0" parTransId="{C826952D-D06A-433F-9E75-81006C2C4338}" sibTransId="{613AC894-63DB-407E-B3CF-377F109881E9}"/>
    <dgm:cxn modelId="{7FA69BB1-25CD-473D-A538-0D50C021119C}" type="presOf" srcId="{156088D9-0536-4B0B-BEA7-A72B7E89570F}" destId="{FC7342DE-9EDB-4767-8F11-0275FEBA0DF4}" srcOrd="0" destOrd="0" presId="urn:microsoft.com/office/officeart/2005/8/layout/target2"/>
    <dgm:cxn modelId="{4A0FC4B1-F32E-4CA3-98A8-7891480CA4A4}" srcId="{EE2A9DF2-E493-4F1B-84C3-1E801662CEEC}" destId="{C08ECABC-9EC9-4C39-A548-C674AC906512}" srcOrd="1" destOrd="0" parTransId="{830E9565-4418-4031-92E6-0E3420B8EE34}" sibTransId="{0B2DFDCE-F77A-4E57-B426-90EEF553C55B}"/>
    <dgm:cxn modelId="{3423DDCC-FB90-4DE9-B653-015C031B4565}" type="presOf" srcId="{E713C71C-FE18-401C-90A2-E6DC20AD11D8}" destId="{4A802827-EA36-4B74-9015-4C652FF39AB0}" srcOrd="0" destOrd="0" presId="urn:microsoft.com/office/officeart/2005/8/layout/target2"/>
    <dgm:cxn modelId="{D59C15DA-CAE9-4BC1-9187-BA003B8E4707}" srcId="{E2CE688E-43E8-49F3-9A9C-9A1A9D5DF292}" destId="{2C814C5D-C220-47A7-B6BA-BB033D3C50AB}" srcOrd="2" destOrd="0" parTransId="{CFFD87C3-633D-42EF-8350-7E104535F29F}" sibTransId="{63FDB93D-CDF6-4224-8694-FCD57ADF8C25}"/>
    <dgm:cxn modelId="{336BD4E1-2BE0-4EA8-A765-BADA28DAB53C}" type="presOf" srcId="{EE2A9DF2-E493-4F1B-84C3-1E801662CEEC}" destId="{38082086-2AAA-4472-BF0D-EDD9B68F968C}" srcOrd="0" destOrd="0" presId="urn:microsoft.com/office/officeart/2005/8/layout/target2"/>
    <dgm:cxn modelId="{8ED1EDE9-113A-4D9D-BF32-C364AA95709C}" srcId="{E2CE688E-43E8-49F3-9A9C-9A1A9D5DF292}" destId="{48901B8C-35FA-4CE5-8908-449F0D2F4BAD}" srcOrd="6" destOrd="0" parTransId="{FBE3B572-C1ED-4D7A-A49F-CC3250B0473E}" sibTransId="{07601D33-A7E7-4B35-AD37-DBE8BAE06FDA}"/>
    <dgm:cxn modelId="{98D3B2F3-54D6-49B6-9D24-B0F00DEC5AF3}" type="presOf" srcId="{664F8FD0-7691-4C25-8D5A-4E082A586447}" destId="{4EA0067D-18F0-4453-BBEF-79FCF2C8D4B7}" srcOrd="0" destOrd="0" presId="urn:microsoft.com/office/officeart/2005/8/layout/target2"/>
    <dgm:cxn modelId="{5A4CB3FD-EB8E-4C8F-A2BF-77DF187C2979}" type="presOf" srcId="{C8C2E157-58CA-4C57-A1D5-4D13E20BE5B3}" destId="{4C5673A6-E518-476A-B836-534204BA1FB1}" srcOrd="0" destOrd="0" presId="urn:microsoft.com/office/officeart/2005/8/layout/target2"/>
    <dgm:cxn modelId="{5CD2F7B9-F726-4884-9790-E801EB5E92E5}" type="presParOf" srcId="{38082086-2AAA-4472-BF0D-EDD9B68F968C}" destId="{477A152D-F76A-4383-A396-A74369CBDC2E}" srcOrd="0" destOrd="0" presId="urn:microsoft.com/office/officeart/2005/8/layout/target2"/>
    <dgm:cxn modelId="{146560E5-0616-497C-851E-C045037D24E5}" type="presParOf" srcId="{477A152D-F76A-4383-A396-A74369CBDC2E}" destId="{A78EBC57-C238-411B-9313-8616BBD6A16F}" srcOrd="0" destOrd="0" presId="urn:microsoft.com/office/officeart/2005/8/layout/target2"/>
    <dgm:cxn modelId="{EA14A914-CCA7-4A34-A09C-9B924D673D95}" type="presParOf" srcId="{477A152D-F76A-4383-A396-A74369CBDC2E}" destId="{A3985ABC-E75A-46D9-8E75-732B79C18730}" srcOrd="1" destOrd="0" presId="urn:microsoft.com/office/officeart/2005/8/layout/target2"/>
    <dgm:cxn modelId="{7D01F51E-55D0-47D6-9430-A9CA6A674DDB}" type="presParOf" srcId="{A3985ABC-E75A-46D9-8E75-732B79C18730}" destId="{CB6306C2-283C-4EC3-A717-429444BF5779}" srcOrd="0" destOrd="0" presId="urn:microsoft.com/office/officeart/2005/8/layout/target2"/>
    <dgm:cxn modelId="{0A0CBB82-6B89-4C3A-BBDA-822095578F52}" type="presParOf" srcId="{A3985ABC-E75A-46D9-8E75-732B79C18730}" destId="{58A22A5F-731D-4EE5-A108-1B1DAD886256}" srcOrd="1" destOrd="0" presId="urn:microsoft.com/office/officeart/2005/8/layout/target2"/>
    <dgm:cxn modelId="{392A2166-62F5-4E0A-8B7B-EF1B34F07DCE}" type="presParOf" srcId="{A3985ABC-E75A-46D9-8E75-732B79C18730}" destId="{7AD48926-00B2-4255-B747-E453AE2FF49E}" srcOrd="2" destOrd="0" presId="urn:microsoft.com/office/officeart/2005/8/layout/target2"/>
    <dgm:cxn modelId="{A779C451-30DE-4F16-B8CD-812858234D35}" type="presParOf" srcId="{A3985ABC-E75A-46D9-8E75-732B79C18730}" destId="{1A05D27F-2133-4DFB-8A2F-5E7BBB3022E6}" srcOrd="3" destOrd="0" presId="urn:microsoft.com/office/officeart/2005/8/layout/target2"/>
    <dgm:cxn modelId="{1285176B-DCE0-45CB-B123-78BFB8924D7D}" type="presParOf" srcId="{A3985ABC-E75A-46D9-8E75-732B79C18730}" destId="{90E07812-8F53-4CA2-BBE2-8A4C89B6F21F}" srcOrd="4" destOrd="0" presId="urn:microsoft.com/office/officeart/2005/8/layout/target2"/>
    <dgm:cxn modelId="{D618A725-BE53-4DD0-A7B5-42FAAB23EAD8}" type="presParOf" srcId="{A3985ABC-E75A-46D9-8E75-732B79C18730}" destId="{1B92EEC1-2FF9-43EB-A9CA-49FE2DF2C639}" srcOrd="5" destOrd="0" presId="urn:microsoft.com/office/officeart/2005/8/layout/target2"/>
    <dgm:cxn modelId="{B4C50108-63A5-4DAB-89DC-E58A13A94DEC}" type="presParOf" srcId="{A3985ABC-E75A-46D9-8E75-732B79C18730}" destId="{E2A34EF5-F5AA-4E4E-B4FC-B5FDFFF1665F}" srcOrd="6" destOrd="0" presId="urn:microsoft.com/office/officeart/2005/8/layout/target2"/>
    <dgm:cxn modelId="{05B2EE95-319D-4592-8D47-C62A83C0B9F9}" type="presParOf" srcId="{A3985ABC-E75A-46D9-8E75-732B79C18730}" destId="{61754AC7-0236-4838-AFCC-F71E97DA19BF}" srcOrd="7" destOrd="0" presId="urn:microsoft.com/office/officeart/2005/8/layout/target2"/>
    <dgm:cxn modelId="{9B70A6A2-84C4-4DCF-9BB2-33033999CC30}" type="presParOf" srcId="{A3985ABC-E75A-46D9-8E75-732B79C18730}" destId="{18C6AA0D-A675-41EA-967C-ED26A4EFCDF1}" srcOrd="8" destOrd="0" presId="urn:microsoft.com/office/officeart/2005/8/layout/target2"/>
    <dgm:cxn modelId="{A5891BFE-0F77-4979-8F83-66465F024A2C}" type="presParOf" srcId="{A3985ABC-E75A-46D9-8E75-732B79C18730}" destId="{E3B5ECE3-1E6B-4F93-B8B0-D87C5837D674}" srcOrd="9" destOrd="0" presId="urn:microsoft.com/office/officeart/2005/8/layout/target2"/>
    <dgm:cxn modelId="{E86D329A-9401-4FB4-BAFE-E3D71DEC8834}" type="presParOf" srcId="{A3985ABC-E75A-46D9-8E75-732B79C18730}" destId="{4EA0067D-18F0-4453-BBEF-79FCF2C8D4B7}" srcOrd="10" destOrd="0" presId="urn:microsoft.com/office/officeart/2005/8/layout/target2"/>
    <dgm:cxn modelId="{852D2407-1951-4427-91FD-610D5834850F}" type="presParOf" srcId="{A3985ABC-E75A-46D9-8E75-732B79C18730}" destId="{625363C5-5AB9-4F37-8C17-C20C38EF48BA}" srcOrd="11" destOrd="0" presId="urn:microsoft.com/office/officeart/2005/8/layout/target2"/>
    <dgm:cxn modelId="{E353EF18-9742-4A75-9135-10CCDF330628}" type="presParOf" srcId="{A3985ABC-E75A-46D9-8E75-732B79C18730}" destId="{50AE1CD5-2A5C-4A78-A062-D75F5861767B}" srcOrd="12" destOrd="0" presId="urn:microsoft.com/office/officeart/2005/8/layout/target2"/>
    <dgm:cxn modelId="{E798FBBF-3431-4C32-95EA-2ED62725912E}" type="presParOf" srcId="{A3985ABC-E75A-46D9-8E75-732B79C18730}" destId="{07A56E24-A4AA-46FB-99EE-8DA9B5B82BDD}" srcOrd="13" destOrd="0" presId="urn:microsoft.com/office/officeart/2005/8/layout/target2"/>
    <dgm:cxn modelId="{937FC3F5-6EF3-4E8A-B90F-C96C14849383}" type="presParOf" srcId="{A3985ABC-E75A-46D9-8E75-732B79C18730}" destId="{18D6F543-50AD-4664-858A-0B8209DC71E0}" srcOrd="14" destOrd="0" presId="urn:microsoft.com/office/officeart/2005/8/layout/target2"/>
    <dgm:cxn modelId="{731C3868-FB01-47E2-B180-6D130F4534FB}" type="presParOf" srcId="{38082086-2AAA-4472-BF0D-EDD9B68F968C}" destId="{58135BE3-7599-4CD6-B192-2CD285126C3E}" srcOrd="1" destOrd="0" presId="urn:microsoft.com/office/officeart/2005/8/layout/target2"/>
    <dgm:cxn modelId="{4CCC07BF-995B-4F69-A420-7A8A3D21B394}" type="presParOf" srcId="{58135BE3-7599-4CD6-B192-2CD285126C3E}" destId="{168292C7-F51A-4C61-8D04-F12C44B1AF26}" srcOrd="0" destOrd="0" presId="urn:microsoft.com/office/officeart/2005/8/layout/target2"/>
    <dgm:cxn modelId="{8BC485A1-2668-4C13-BE8D-45B075D619D0}" type="presParOf" srcId="{58135BE3-7599-4CD6-B192-2CD285126C3E}" destId="{C6EDD046-5F99-41D9-AC3E-83BF7302DCE5}" srcOrd="1" destOrd="0" presId="urn:microsoft.com/office/officeart/2005/8/layout/target2"/>
    <dgm:cxn modelId="{4A61E323-CEAB-45CC-A93D-7A954FACA6C5}" type="presParOf" srcId="{C6EDD046-5F99-41D9-AC3E-83BF7302DCE5}" destId="{4C5673A6-E518-476A-B836-534204BA1FB1}" srcOrd="0" destOrd="0" presId="urn:microsoft.com/office/officeart/2005/8/layout/target2"/>
    <dgm:cxn modelId="{9569044A-C7EB-428A-A7AC-C459F934306B}" type="presParOf" srcId="{C6EDD046-5F99-41D9-AC3E-83BF7302DCE5}" destId="{EF7868E2-3EA5-4582-BD45-24E9D4C73C99}" srcOrd="1" destOrd="0" presId="urn:microsoft.com/office/officeart/2005/8/layout/target2"/>
    <dgm:cxn modelId="{764C32CF-CC31-48A3-A5F7-5480821AC452}" type="presParOf" srcId="{C6EDD046-5F99-41D9-AC3E-83BF7302DCE5}" destId="{F8AC70FB-1672-4D42-8CB3-3186D7DDD03B}" srcOrd="2" destOrd="0" presId="urn:microsoft.com/office/officeart/2005/8/layout/target2"/>
    <dgm:cxn modelId="{64C35BC7-8F22-4045-A59A-211C4F4D62C0}" type="presParOf" srcId="{C6EDD046-5F99-41D9-AC3E-83BF7302DCE5}" destId="{0CF1D696-7BAA-4D73-B480-25686F0F77F1}" srcOrd="3" destOrd="0" presId="urn:microsoft.com/office/officeart/2005/8/layout/target2"/>
    <dgm:cxn modelId="{3F0623E2-0C04-4C34-9156-5F6E9DB3AEAB}" type="presParOf" srcId="{C6EDD046-5F99-41D9-AC3E-83BF7302DCE5}" destId="{9624CA3D-8249-4660-9018-808FE9AAE79E}" srcOrd="4" destOrd="0" presId="urn:microsoft.com/office/officeart/2005/8/layout/target2"/>
    <dgm:cxn modelId="{43141481-EA63-4EDB-B6B8-F637E7D205E1}" type="presParOf" srcId="{C6EDD046-5F99-41D9-AC3E-83BF7302DCE5}" destId="{7FA89F67-846B-4D8D-BF09-0558849C54C5}" srcOrd="5" destOrd="0" presId="urn:microsoft.com/office/officeart/2005/8/layout/target2"/>
    <dgm:cxn modelId="{4B91206B-46D5-419D-AE07-1A58AEBBEE4C}" type="presParOf" srcId="{C6EDD046-5F99-41D9-AC3E-83BF7302DCE5}" destId="{07D4E684-65D4-40A8-AE6C-94342B2435EF}" srcOrd="6" destOrd="0" presId="urn:microsoft.com/office/officeart/2005/8/layout/target2"/>
    <dgm:cxn modelId="{1020C08F-B572-4824-B379-0A783D9F5567}" type="presParOf" srcId="{C6EDD046-5F99-41D9-AC3E-83BF7302DCE5}" destId="{191A3072-8146-44AD-8697-DDA87F2EF7EC}" srcOrd="7" destOrd="0" presId="urn:microsoft.com/office/officeart/2005/8/layout/target2"/>
    <dgm:cxn modelId="{912C3EF7-432A-4D7C-98D9-C3831B056293}" type="presParOf" srcId="{C6EDD046-5F99-41D9-AC3E-83BF7302DCE5}" destId="{FC7342DE-9EDB-4767-8F11-0275FEBA0DF4}" srcOrd="8" destOrd="0" presId="urn:microsoft.com/office/officeart/2005/8/layout/target2"/>
    <dgm:cxn modelId="{D0876DE1-149E-4736-86FD-6CB65D914B32}" type="presParOf" srcId="{C6EDD046-5F99-41D9-AC3E-83BF7302DCE5}" destId="{5E36FC11-8826-4004-B87E-149DA034B8C2}" srcOrd="9" destOrd="0" presId="urn:microsoft.com/office/officeart/2005/8/layout/target2"/>
    <dgm:cxn modelId="{80C1A597-36EB-4C03-A779-4CBECF2EE0A5}" type="presParOf" srcId="{C6EDD046-5F99-41D9-AC3E-83BF7302DCE5}" destId="{4A802827-EA36-4B74-9015-4C652FF39AB0}" srcOrd="10" destOrd="0" presId="urn:microsoft.com/office/officeart/2005/8/layout/target2"/>
  </dgm:cxnLst>
  <dgm:bg>
    <a:noFill/>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C60BF7B-9407-4A8D-912D-29BC4BFDD97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BE8E0CF-7BF0-4D68-808F-968D88065C11}">
      <dgm:prSet phldrT="[Text]" custT="1"/>
      <dgm:spPr>
        <a:solidFill>
          <a:schemeClr val="accent1">
            <a:lumMod val="60000"/>
            <a:lumOff val="40000"/>
          </a:schemeClr>
        </a:solidFill>
      </dgm:spPr>
      <dgm:t>
        <a:bodyPr/>
        <a:lstStyle/>
        <a:p>
          <a:pPr algn="ctr"/>
          <a:r>
            <a:rPr lang="en-GB" sz="1100" b="1">
              <a:solidFill>
                <a:sysClr val="windowText" lastClr="000000"/>
              </a:solidFill>
              <a:latin typeface="+mn-lt"/>
            </a:rPr>
            <a:t>ADVOCACY</a:t>
          </a:r>
        </a:p>
      </dgm:t>
    </dgm:pt>
    <dgm:pt modelId="{258D2032-B08E-4E0B-84C5-20C3756427F8}" type="parTrans" cxnId="{171DE043-6342-4D6D-B68A-68A819011D07}">
      <dgm:prSet/>
      <dgm:spPr/>
      <dgm:t>
        <a:bodyPr/>
        <a:lstStyle/>
        <a:p>
          <a:pPr algn="ctr"/>
          <a:endParaRPr lang="en-GB" sz="1100" b="1">
            <a:solidFill>
              <a:sysClr val="windowText" lastClr="000000"/>
            </a:solidFill>
            <a:latin typeface="+mn-lt"/>
          </a:endParaRPr>
        </a:p>
      </dgm:t>
    </dgm:pt>
    <dgm:pt modelId="{C843AD2E-577C-4D5C-B41C-EB24F3835DDD}" type="sibTrans" cxnId="{171DE043-6342-4D6D-B68A-68A819011D07}">
      <dgm:prSet/>
      <dgm:spPr/>
      <dgm:t>
        <a:bodyPr/>
        <a:lstStyle/>
        <a:p>
          <a:pPr algn="ctr"/>
          <a:endParaRPr lang="en-GB" sz="1100" b="1">
            <a:solidFill>
              <a:sysClr val="windowText" lastClr="000000"/>
            </a:solidFill>
            <a:latin typeface="+mn-lt"/>
          </a:endParaRPr>
        </a:p>
      </dgm:t>
    </dgm:pt>
    <dgm:pt modelId="{4BA2A7D3-D82F-42FF-A34B-EA3CD6EF1EDD}">
      <dgm:prSet phldrT="[Text]" custT="1"/>
      <dgm:spPr>
        <a:solidFill>
          <a:schemeClr val="accent1">
            <a:lumMod val="40000"/>
            <a:lumOff val="60000"/>
          </a:schemeClr>
        </a:solidFill>
      </dgm:spPr>
      <dgm:t>
        <a:bodyPr/>
        <a:lstStyle/>
        <a:p>
          <a:pPr algn="ctr"/>
          <a:r>
            <a:rPr lang="en-GB" sz="1100" b="1">
              <a:solidFill>
                <a:sysClr val="windowText" lastClr="000000"/>
              </a:solidFill>
              <a:latin typeface="+mn-lt"/>
            </a:rPr>
            <a:t>Knowledge synthesis &amp; application</a:t>
          </a:r>
        </a:p>
      </dgm:t>
    </dgm:pt>
    <dgm:pt modelId="{E90BA898-5A5F-46BA-BAE0-2E7E9AB588FA}" type="parTrans" cxnId="{4DA1810C-41FA-4E15-B024-AB9B40A37750}">
      <dgm:prSet/>
      <dgm:spPr/>
      <dgm:t>
        <a:bodyPr/>
        <a:lstStyle/>
        <a:p>
          <a:pPr algn="ctr"/>
          <a:endParaRPr lang="en-GB" sz="1100" b="1">
            <a:solidFill>
              <a:sysClr val="windowText" lastClr="000000"/>
            </a:solidFill>
            <a:latin typeface="+mn-lt"/>
          </a:endParaRPr>
        </a:p>
      </dgm:t>
    </dgm:pt>
    <dgm:pt modelId="{1E502854-6A5A-44FA-B6C0-031622242396}" type="sibTrans" cxnId="{4DA1810C-41FA-4E15-B024-AB9B40A37750}">
      <dgm:prSet/>
      <dgm:spPr/>
      <dgm:t>
        <a:bodyPr/>
        <a:lstStyle/>
        <a:p>
          <a:pPr algn="ctr"/>
          <a:endParaRPr lang="en-GB" sz="1100" b="1">
            <a:solidFill>
              <a:sysClr val="windowText" lastClr="000000"/>
            </a:solidFill>
            <a:latin typeface="+mn-lt"/>
          </a:endParaRPr>
        </a:p>
      </dgm:t>
    </dgm:pt>
    <dgm:pt modelId="{E2979907-9521-4ECA-9C5F-DCCE9E4F6FC3}">
      <dgm:prSet phldrT="[Text]" custT="1"/>
      <dgm:spPr>
        <a:solidFill>
          <a:schemeClr val="accent1">
            <a:lumMod val="40000"/>
            <a:lumOff val="60000"/>
          </a:schemeClr>
        </a:solidFill>
      </dgm:spPr>
      <dgm:t>
        <a:bodyPr/>
        <a:lstStyle/>
        <a:p>
          <a:pPr algn="ctr"/>
          <a:r>
            <a:rPr lang="en-GB" sz="1100" b="1">
              <a:solidFill>
                <a:sysClr val="windowText" lastClr="000000"/>
              </a:solidFill>
              <a:latin typeface="+mn-lt"/>
            </a:rPr>
            <a:t>Partner engagement, alignment &amp; empowerment</a:t>
          </a:r>
        </a:p>
      </dgm:t>
    </dgm:pt>
    <dgm:pt modelId="{FB45C69F-E6CD-4B11-82E2-61F142B3B497}" type="parTrans" cxnId="{58EA85A4-6182-409F-9A25-39242843457D}">
      <dgm:prSet/>
      <dgm:spPr/>
      <dgm:t>
        <a:bodyPr/>
        <a:lstStyle/>
        <a:p>
          <a:pPr algn="ctr"/>
          <a:endParaRPr lang="en-GB" sz="1100" b="1">
            <a:solidFill>
              <a:sysClr val="windowText" lastClr="000000"/>
            </a:solidFill>
            <a:latin typeface="+mn-lt"/>
          </a:endParaRPr>
        </a:p>
      </dgm:t>
    </dgm:pt>
    <dgm:pt modelId="{14B3FF38-0A66-48BE-B9D6-28D6AB406976}" type="sibTrans" cxnId="{58EA85A4-6182-409F-9A25-39242843457D}">
      <dgm:prSet/>
      <dgm:spPr/>
      <dgm:t>
        <a:bodyPr/>
        <a:lstStyle/>
        <a:p>
          <a:pPr algn="ctr"/>
          <a:endParaRPr lang="en-GB" sz="1100" b="1">
            <a:solidFill>
              <a:sysClr val="windowText" lastClr="000000"/>
            </a:solidFill>
            <a:latin typeface="+mn-lt"/>
          </a:endParaRPr>
        </a:p>
      </dgm:t>
    </dgm:pt>
    <dgm:pt modelId="{B49C1ABE-4B4C-4ECA-AA29-F24781B73630}">
      <dgm:prSet phldrT="[Text]" custT="1"/>
      <dgm:spPr>
        <a:solidFill>
          <a:schemeClr val="accent1">
            <a:lumMod val="40000"/>
            <a:lumOff val="60000"/>
          </a:schemeClr>
        </a:solidFill>
      </dgm:spPr>
      <dgm:t>
        <a:bodyPr/>
        <a:lstStyle/>
        <a:p>
          <a:pPr algn="ctr"/>
          <a:r>
            <a:rPr lang="en-GB" sz="1100" b="1">
              <a:solidFill>
                <a:sysClr val="windowText" lastClr="000000"/>
              </a:solidFill>
              <a:latin typeface="+mn-lt"/>
            </a:rPr>
            <a:t>Execution of campaigns &amp; accountability for outcomes</a:t>
          </a:r>
        </a:p>
      </dgm:t>
    </dgm:pt>
    <dgm:pt modelId="{3BCD4D91-3A7E-4B8D-8804-90ED65512BB5}" type="parTrans" cxnId="{6244DA4D-1248-464B-AEB2-E012042B55A1}">
      <dgm:prSet/>
      <dgm:spPr/>
      <dgm:t>
        <a:bodyPr/>
        <a:lstStyle/>
        <a:p>
          <a:pPr algn="ctr"/>
          <a:endParaRPr lang="en-GB" sz="1100" b="1">
            <a:solidFill>
              <a:sysClr val="windowText" lastClr="000000"/>
            </a:solidFill>
            <a:latin typeface="+mn-lt"/>
          </a:endParaRPr>
        </a:p>
      </dgm:t>
    </dgm:pt>
    <dgm:pt modelId="{616B0F9F-CB86-47DE-991A-6E7038DB0260}" type="sibTrans" cxnId="{6244DA4D-1248-464B-AEB2-E012042B55A1}">
      <dgm:prSet/>
      <dgm:spPr/>
      <dgm:t>
        <a:bodyPr/>
        <a:lstStyle/>
        <a:p>
          <a:pPr algn="ctr"/>
          <a:endParaRPr lang="en-GB" sz="1100" b="1">
            <a:solidFill>
              <a:sysClr val="windowText" lastClr="000000"/>
            </a:solidFill>
            <a:latin typeface="+mn-lt"/>
          </a:endParaRPr>
        </a:p>
      </dgm:t>
    </dgm:pt>
    <dgm:pt modelId="{A1D0BEAA-692A-496D-8EEE-D7CA48B206AB}" type="pres">
      <dgm:prSet presAssocID="{1C60BF7B-9407-4A8D-912D-29BC4BFDD974}" presName="hierChild1" presStyleCnt="0">
        <dgm:presLayoutVars>
          <dgm:orgChart val="1"/>
          <dgm:chPref val="1"/>
          <dgm:dir/>
          <dgm:animOne val="branch"/>
          <dgm:animLvl val="lvl"/>
          <dgm:resizeHandles/>
        </dgm:presLayoutVars>
      </dgm:prSet>
      <dgm:spPr/>
    </dgm:pt>
    <dgm:pt modelId="{27AF854E-122C-4E48-BD02-AC8D7EF07BD5}" type="pres">
      <dgm:prSet presAssocID="{9BE8E0CF-7BF0-4D68-808F-968D88065C11}" presName="hierRoot1" presStyleCnt="0">
        <dgm:presLayoutVars>
          <dgm:hierBranch val="init"/>
        </dgm:presLayoutVars>
      </dgm:prSet>
      <dgm:spPr/>
    </dgm:pt>
    <dgm:pt modelId="{5F0C0D20-8AC9-4993-B98F-4C45AEEBDBE6}" type="pres">
      <dgm:prSet presAssocID="{9BE8E0CF-7BF0-4D68-808F-968D88065C11}" presName="rootComposite1" presStyleCnt="0"/>
      <dgm:spPr/>
    </dgm:pt>
    <dgm:pt modelId="{9A020A0A-1FE2-4970-891C-E8E03E90B766}" type="pres">
      <dgm:prSet presAssocID="{9BE8E0CF-7BF0-4D68-808F-968D88065C11}" presName="rootText1" presStyleLbl="node0" presStyleIdx="0" presStyleCnt="1">
        <dgm:presLayoutVars>
          <dgm:chPref val="3"/>
        </dgm:presLayoutVars>
      </dgm:prSet>
      <dgm:spPr/>
    </dgm:pt>
    <dgm:pt modelId="{30F6C78D-C968-4BCC-B511-DF0CCFFE7CB6}" type="pres">
      <dgm:prSet presAssocID="{9BE8E0CF-7BF0-4D68-808F-968D88065C11}" presName="rootConnector1" presStyleLbl="node1" presStyleIdx="0" presStyleCnt="0"/>
      <dgm:spPr/>
    </dgm:pt>
    <dgm:pt modelId="{7C390268-DD70-4E18-AAA6-B5A8F68A002A}" type="pres">
      <dgm:prSet presAssocID="{9BE8E0CF-7BF0-4D68-808F-968D88065C11}" presName="hierChild2" presStyleCnt="0"/>
      <dgm:spPr/>
    </dgm:pt>
    <dgm:pt modelId="{077EA04E-6633-4281-91DD-8645D57069F2}" type="pres">
      <dgm:prSet presAssocID="{E90BA898-5A5F-46BA-BAE0-2E7E9AB588FA}" presName="Name37" presStyleLbl="parChTrans1D2" presStyleIdx="0" presStyleCnt="3"/>
      <dgm:spPr/>
    </dgm:pt>
    <dgm:pt modelId="{7E3F3104-8DB4-4CED-8B43-521C60130B67}" type="pres">
      <dgm:prSet presAssocID="{4BA2A7D3-D82F-42FF-A34B-EA3CD6EF1EDD}" presName="hierRoot2" presStyleCnt="0">
        <dgm:presLayoutVars>
          <dgm:hierBranch val="init"/>
        </dgm:presLayoutVars>
      </dgm:prSet>
      <dgm:spPr/>
    </dgm:pt>
    <dgm:pt modelId="{510B6CDA-EB2C-42BE-8524-A4AE91436E40}" type="pres">
      <dgm:prSet presAssocID="{4BA2A7D3-D82F-42FF-A34B-EA3CD6EF1EDD}" presName="rootComposite" presStyleCnt="0"/>
      <dgm:spPr/>
    </dgm:pt>
    <dgm:pt modelId="{2396C7CC-51DA-410E-AA3F-90F985A2D9DE}" type="pres">
      <dgm:prSet presAssocID="{4BA2A7D3-D82F-42FF-A34B-EA3CD6EF1EDD}" presName="rootText" presStyleLbl="node2" presStyleIdx="0" presStyleCnt="3" custScaleX="138129" custLinFactNeighborX="-32127" custLinFactNeighborY="208">
        <dgm:presLayoutVars>
          <dgm:chPref val="3"/>
        </dgm:presLayoutVars>
      </dgm:prSet>
      <dgm:spPr/>
    </dgm:pt>
    <dgm:pt modelId="{12DB7D9B-46A9-4DB0-A2E4-EDAAB0E95143}" type="pres">
      <dgm:prSet presAssocID="{4BA2A7D3-D82F-42FF-A34B-EA3CD6EF1EDD}" presName="rootConnector" presStyleLbl="node2" presStyleIdx="0" presStyleCnt="3"/>
      <dgm:spPr/>
    </dgm:pt>
    <dgm:pt modelId="{3B3628DA-A247-4027-80B9-C633B76E77B4}" type="pres">
      <dgm:prSet presAssocID="{4BA2A7D3-D82F-42FF-A34B-EA3CD6EF1EDD}" presName="hierChild4" presStyleCnt="0"/>
      <dgm:spPr/>
    </dgm:pt>
    <dgm:pt modelId="{44EDDC7C-203A-483D-81D1-9CEB028A1220}" type="pres">
      <dgm:prSet presAssocID="{4BA2A7D3-D82F-42FF-A34B-EA3CD6EF1EDD}" presName="hierChild5" presStyleCnt="0"/>
      <dgm:spPr/>
    </dgm:pt>
    <dgm:pt modelId="{10EF37AD-7D1D-4B2A-94E2-6B854772224C}" type="pres">
      <dgm:prSet presAssocID="{FB45C69F-E6CD-4B11-82E2-61F142B3B497}" presName="Name37" presStyleLbl="parChTrans1D2" presStyleIdx="1" presStyleCnt="3"/>
      <dgm:spPr/>
    </dgm:pt>
    <dgm:pt modelId="{753D15EB-24BE-4369-BE3D-72429B14940C}" type="pres">
      <dgm:prSet presAssocID="{E2979907-9521-4ECA-9C5F-DCCE9E4F6FC3}" presName="hierRoot2" presStyleCnt="0">
        <dgm:presLayoutVars>
          <dgm:hierBranch val="init"/>
        </dgm:presLayoutVars>
      </dgm:prSet>
      <dgm:spPr/>
    </dgm:pt>
    <dgm:pt modelId="{E6A3CB27-A10C-47B0-8FD6-BD1EC5EB089C}" type="pres">
      <dgm:prSet presAssocID="{E2979907-9521-4ECA-9C5F-DCCE9E4F6FC3}" presName="rootComposite" presStyleCnt="0"/>
      <dgm:spPr/>
    </dgm:pt>
    <dgm:pt modelId="{13358E99-03F9-46BF-802D-2CBBB5EF9E22}" type="pres">
      <dgm:prSet presAssocID="{E2979907-9521-4ECA-9C5F-DCCE9E4F6FC3}" presName="rootText" presStyleLbl="node2" presStyleIdx="1" presStyleCnt="3" custScaleX="145138" custLinFactNeighborX="-2921" custLinFactNeighborY="208">
        <dgm:presLayoutVars>
          <dgm:chPref val="3"/>
        </dgm:presLayoutVars>
      </dgm:prSet>
      <dgm:spPr/>
    </dgm:pt>
    <dgm:pt modelId="{A865CCE9-E380-4E43-8FB0-FB86D4169A5D}" type="pres">
      <dgm:prSet presAssocID="{E2979907-9521-4ECA-9C5F-DCCE9E4F6FC3}" presName="rootConnector" presStyleLbl="node2" presStyleIdx="1" presStyleCnt="3"/>
      <dgm:spPr/>
    </dgm:pt>
    <dgm:pt modelId="{D2D9F881-1269-413E-8A82-A1D9236EC285}" type="pres">
      <dgm:prSet presAssocID="{E2979907-9521-4ECA-9C5F-DCCE9E4F6FC3}" presName="hierChild4" presStyleCnt="0"/>
      <dgm:spPr/>
    </dgm:pt>
    <dgm:pt modelId="{200E4BC4-0D80-45FE-AAC0-D880ACFA6A58}" type="pres">
      <dgm:prSet presAssocID="{E2979907-9521-4ECA-9C5F-DCCE9E4F6FC3}" presName="hierChild5" presStyleCnt="0"/>
      <dgm:spPr/>
    </dgm:pt>
    <dgm:pt modelId="{5D858CB2-28B3-48E9-829F-6BB11F970928}" type="pres">
      <dgm:prSet presAssocID="{3BCD4D91-3A7E-4B8D-8804-90ED65512BB5}" presName="Name37" presStyleLbl="parChTrans1D2" presStyleIdx="2" presStyleCnt="3"/>
      <dgm:spPr/>
    </dgm:pt>
    <dgm:pt modelId="{351EEAF8-282A-4870-B395-837F5379D8E8}" type="pres">
      <dgm:prSet presAssocID="{B49C1ABE-4B4C-4ECA-AA29-F24781B73630}" presName="hierRoot2" presStyleCnt="0">
        <dgm:presLayoutVars>
          <dgm:hierBranch val="init"/>
        </dgm:presLayoutVars>
      </dgm:prSet>
      <dgm:spPr/>
    </dgm:pt>
    <dgm:pt modelId="{AC232000-19E5-4B15-B3DC-90BCF94FCEF2}" type="pres">
      <dgm:prSet presAssocID="{B49C1ABE-4B4C-4ECA-AA29-F24781B73630}" presName="rootComposite" presStyleCnt="0"/>
      <dgm:spPr/>
    </dgm:pt>
    <dgm:pt modelId="{B41743C7-B880-411C-A642-037B7BFF67C2}" type="pres">
      <dgm:prSet presAssocID="{B49C1ABE-4B4C-4ECA-AA29-F24781B73630}" presName="rootText" presStyleLbl="node2" presStyleIdx="2" presStyleCnt="3" custScaleX="132020" custLinFactNeighborX="23365" custLinFactNeighborY="208">
        <dgm:presLayoutVars>
          <dgm:chPref val="3"/>
        </dgm:presLayoutVars>
      </dgm:prSet>
      <dgm:spPr/>
    </dgm:pt>
    <dgm:pt modelId="{A4C864E6-0A27-471B-AFF7-46B2B4B5A37B}" type="pres">
      <dgm:prSet presAssocID="{B49C1ABE-4B4C-4ECA-AA29-F24781B73630}" presName="rootConnector" presStyleLbl="node2" presStyleIdx="2" presStyleCnt="3"/>
      <dgm:spPr/>
    </dgm:pt>
    <dgm:pt modelId="{CB3C8F7B-857D-4058-B383-F2159C7879BC}" type="pres">
      <dgm:prSet presAssocID="{B49C1ABE-4B4C-4ECA-AA29-F24781B73630}" presName="hierChild4" presStyleCnt="0"/>
      <dgm:spPr/>
    </dgm:pt>
    <dgm:pt modelId="{DE4B826D-6193-43B4-A74F-098A1D350D34}" type="pres">
      <dgm:prSet presAssocID="{B49C1ABE-4B4C-4ECA-AA29-F24781B73630}" presName="hierChild5" presStyleCnt="0"/>
      <dgm:spPr/>
    </dgm:pt>
    <dgm:pt modelId="{4D11D627-90B4-434F-8289-C49345608398}" type="pres">
      <dgm:prSet presAssocID="{9BE8E0CF-7BF0-4D68-808F-968D88065C11}" presName="hierChild3" presStyleCnt="0"/>
      <dgm:spPr/>
    </dgm:pt>
  </dgm:ptLst>
  <dgm:cxnLst>
    <dgm:cxn modelId="{4DA1810C-41FA-4E15-B024-AB9B40A37750}" srcId="{9BE8E0CF-7BF0-4D68-808F-968D88065C11}" destId="{4BA2A7D3-D82F-42FF-A34B-EA3CD6EF1EDD}" srcOrd="0" destOrd="0" parTransId="{E90BA898-5A5F-46BA-BAE0-2E7E9AB588FA}" sibTransId="{1E502854-6A5A-44FA-B6C0-031622242396}"/>
    <dgm:cxn modelId="{91B02339-1F3D-497E-BC6B-D593CE7C9F4A}" type="presOf" srcId="{9BE8E0CF-7BF0-4D68-808F-968D88065C11}" destId="{30F6C78D-C968-4BCC-B511-DF0CCFFE7CB6}" srcOrd="1" destOrd="0" presId="urn:microsoft.com/office/officeart/2005/8/layout/orgChart1"/>
    <dgm:cxn modelId="{90FF7B39-93BB-45DF-919E-E9632187AEF3}" type="presOf" srcId="{4BA2A7D3-D82F-42FF-A34B-EA3CD6EF1EDD}" destId="{12DB7D9B-46A9-4DB0-A2E4-EDAAB0E95143}" srcOrd="1" destOrd="0" presId="urn:microsoft.com/office/officeart/2005/8/layout/orgChart1"/>
    <dgm:cxn modelId="{0B047B42-400D-4852-910B-0225ECC9AFF4}" type="presOf" srcId="{1C60BF7B-9407-4A8D-912D-29BC4BFDD974}" destId="{A1D0BEAA-692A-496D-8EEE-D7CA48B206AB}" srcOrd="0" destOrd="0" presId="urn:microsoft.com/office/officeart/2005/8/layout/orgChart1"/>
    <dgm:cxn modelId="{171DE043-6342-4D6D-B68A-68A819011D07}" srcId="{1C60BF7B-9407-4A8D-912D-29BC4BFDD974}" destId="{9BE8E0CF-7BF0-4D68-808F-968D88065C11}" srcOrd="0" destOrd="0" parTransId="{258D2032-B08E-4E0B-84C5-20C3756427F8}" sibTransId="{C843AD2E-577C-4D5C-B41C-EB24F3835DDD}"/>
    <dgm:cxn modelId="{5B880D47-3824-4CB3-ADD6-01FFC888CE85}" type="presOf" srcId="{FB45C69F-E6CD-4B11-82E2-61F142B3B497}" destId="{10EF37AD-7D1D-4B2A-94E2-6B854772224C}" srcOrd="0" destOrd="0" presId="urn:microsoft.com/office/officeart/2005/8/layout/orgChart1"/>
    <dgm:cxn modelId="{6244DA4D-1248-464B-AEB2-E012042B55A1}" srcId="{9BE8E0CF-7BF0-4D68-808F-968D88065C11}" destId="{B49C1ABE-4B4C-4ECA-AA29-F24781B73630}" srcOrd="2" destOrd="0" parTransId="{3BCD4D91-3A7E-4B8D-8804-90ED65512BB5}" sibTransId="{616B0F9F-CB86-47DE-991A-6E7038DB0260}"/>
    <dgm:cxn modelId="{3021C54E-51F1-4565-B4F7-EBB768414FA6}" type="presOf" srcId="{4BA2A7D3-D82F-42FF-A34B-EA3CD6EF1EDD}" destId="{2396C7CC-51DA-410E-AA3F-90F985A2D9DE}" srcOrd="0" destOrd="0" presId="urn:microsoft.com/office/officeart/2005/8/layout/orgChart1"/>
    <dgm:cxn modelId="{1ED4A773-366B-4069-93CB-22AA8E813A2F}" type="presOf" srcId="{9BE8E0CF-7BF0-4D68-808F-968D88065C11}" destId="{9A020A0A-1FE2-4970-891C-E8E03E90B766}" srcOrd="0" destOrd="0" presId="urn:microsoft.com/office/officeart/2005/8/layout/orgChart1"/>
    <dgm:cxn modelId="{F3B33C99-3CCD-4F82-9A67-76EE81515774}" type="presOf" srcId="{E90BA898-5A5F-46BA-BAE0-2E7E9AB588FA}" destId="{077EA04E-6633-4281-91DD-8645D57069F2}" srcOrd="0" destOrd="0" presId="urn:microsoft.com/office/officeart/2005/8/layout/orgChart1"/>
    <dgm:cxn modelId="{0FD0079C-E81E-4653-961F-400E3B573590}" type="presOf" srcId="{E2979907-9521-4ECA-9C5F-DCCE9E4F6FC3}" destId="{A865CCE9-E380-4E43-8FB0-FB86D4169A5D}" srcOrd="1" destOrd="0" presId="urn:microsoft.com/office/officeart/2005/8/layout/orgChart1"/>
    <dgm:cxn modelId="{75F112A1-5DF3-4A61-8B8C-8E2056C9939F}" type="presOf" srcId="{B49C1ABE-4B4C-4ECA-AA29-F24781B73630}" destId="{A4C864E6-0A27-471B-AFF7-46B2B4B5A37B}" srcOrd="1" destOrd="0" presId="urn:microsoft.com/office/officeart/2005/8/layout/orgChart1"/>
    <dgm:cxn modelId="{58EA85A4-6182-409F-9A25-39242843457D}" srcId="{9BE8E0CF-7BF0-4D68-808F-968D88065C11}" destId="{E2979907-9521-4ECA-9C5F-DCCE9E4F6FC3}" srcOrd="1" destOrd="0" parTransId="{FB45C69F-E6CD-4B11-82E2-61F142B3B497}" sibTransId="{14B3FF38-0A66-48BE-B9D6-28D6AB406976}"/>
    <dgm:cxn modelId="{CC386AAE-4F75-4D25-AADE-E171FEF0282B}" type="presOf" srcId="{E2979907-9521-4ECA-9C5F-DCCE9E4F6FC3}" destId="{13358E99-03F9-46BF-802D-2CBBB5EF9E22}" srcOrd="0" destOrd="0" presId="urn:microsoft.com/office/officeart/2005/8/layout/orgChart1"/>
    <dgm:cxn modelId="{F36C33F0-39BF-4C55-AEA3-22A18BBF05A9}" type="presOf" srcId="{B49C1ABE-4B4C-4ECA-AA29-F24781B73630}" destId="{B41743C7-B880-411C-A642-037B7BFF67C2}" srcOrd="0" destOrd="0" presId="urn:microsoft.com/office/officeart/2005/8/layout/orgChart1"/>
    <dgm:cxn modelId="{B8C146F5-FE2C-4817-AF77-E24B0527794D}" type="presOf" srcId="{3BCD4D91-3A7E-4B8D-8804-90ED65512BB5}" destId="{5D858CB2-28B3-48E9-829F-6BB11F970928}" srcOrd="0" destOrd="0" presId="urn:microsoft.com/office/officeart/2005/8/layout/orgChart1"/>
    <dgm:cxn modelId="{B62F509E-2560-48A8-83E9-48BE9C4D705B}" type="presParOf" srcId="{A1D0BEAA-692A-496D-8EEE-D7CA48B206AB}" destId="{27AF854E-122C-4E48-BD02-AC8D7EF07BD5}" srcOrd="0" destOrd="0" presId="urn:microsoft.com/office/officeart/2005/8/layout/orgChart1"/>
    <dgm:cxn modelId="{D00AAA08-8F7C-47DC-BF8A-E063435B363F}" type="presParOf" srcId="{27AF854E-122C-4E48-BD02-AC8D7EF07BD5}" destId="{5F0C0D20-8AC9-4993-B98F-4C45AEEBDBE6}" srcOrd="0" destOrd="0" presId="urn:microsoft.com/office/officeart/2005/8/layout/orgChart1"/>
    <dgm:cxn modelId="{C200DCA1-B025-4F8E-8735-1C916254E243}" type="presParOf" srcId="{5F0C0D20-8AC9-4993-B98F-4C45AEEBDBE6}" destId="{9A020A0A-1FE2-4970-891C-E8E03E90B766}" srcOrd="0" destOrd="0" presId="urn:microsoft.com/office/officeart/2005/8/layout/orgChart1"/>
    <dgm:cxn modelId="{5FF64B8A-385A-4110-A2B1-254E1C6D377C}" type="presParOf" srcId="{5F0C0D20-8AC9-4993-B98F-4C45AEEBDBE6}" destId="{30F6C78D-C968-4BCC-B511-DF0CCFFE7CB6}" srcOrd="1" destOrd="0" presId="urn:microsoft.com/office/officeart/2005/8/layout/orgChart1"/>
    <dgm:cxn modelId="{6E347A6C-6534-47EA-B25A-9E9B0A59F6B1}" type="presParOf" srcId="{27AF854E-122C-4E48-BD02-AC8D7EF07BD5}" destId="{7C390268-DD70-4E18-AAA6-B5A8F68A002A}" srcOrd="1" destOrd="0" presId="urn:microsoft.com/office/officeart/2005/8/layout/orgChart1"/>
    <dgm:cxn modelId="{1059B110-3D46-40C9-BC45-FEA86AC74DC1}" type="presParOf" srcId="{7C390268-DD70-4E18-AAA6-B5A8F68A002A}" destId="{077EA04E-6633-4281-91DD-8645D57069F2}" srcOrd="0" destOrd="0" presId="urn:microsoft.com/office/officeart/2005/8/layout/orgChart1"/>
    <dgm:cxn modelId="{FF3E4609-5DD5-410C-860D-87137BD16FCB}" type="presParOf" srcId="{7C390268-DD70-4E18-AAA6-B5A8F68A002A}" destId="{7E3F3104-8DB4-4CED-8B43-521C60130B67}" srcOrd="1" destOrd="0" presId="urn:microsoft.com/office/officeart/2005/8/layout/orgChart1"/>
    <dgm:cxn modelId="{2EDB53D4-7B35-4014-A04D-D93A02C64842}" type="presParOf" srcId="{7E3F3104-8DB4-4CED-8B43-521C60130B67}" destId="{510B6CDA-EB2C-42BE-8524-A4AE91436E40}" srcOrd="0" destOrd="0" presId="urn:microsoft.com/office/officeart/2005/8/layout/orgChart1"/>
    <dgm:cxn modelId="{FB874654-DAA6-485A-846B-021A0B21DE2F}" type="presParOf" srcId="{510B6CDA-EB2C-42BE-8524-A4AE91436E40}" destId="{2396C7CC-51DA-410E-AA3F-90F985A2D9DE}" srcOrd="0" destOrd="0" presId="urn:microsoft.com/office/officeart/2005/8/layout/orgChart1"/>
    <dgm:cxn modelId="{4C0D57A9-8B5E-43B2-8DA3-68748B97D97D}" type="presParOf" srcId="{510B6CDA-EB2C-42BE-8524-A4AE91436E40}" destId="{12DB7D9B-46A9-4DB0-A2E4-EDAAB0E95143}" srcOrd="1" destOrd="0" presId="urn:microsoft.com/office/officeart/2005/8/layout/orgChart1"/>
    <dgm:cxn modelId="{58E2512B-2ECE-4D1C-9517-60779B4F04C5}" type="presParOf" srcId="{7E3F3104-8DB4-4CED-8B43-521C60130B67}" destId="{3B3628DA-A247-4027-80B9-C633B76E77B4}" srcOrd="1" destOrd="0" presId="urn:microsoft.com/office/officeart/2005/8/layout/orgChart1"/>
    <dgm:cxn modelId="{187C678E-57B1-4CFA-AE3D-E954862DE8E1}" type="presParOf" srcId="{7E3F3104-8DB4-4CED-8B43-521C60130B67}" destId="{44EDDC7C-203A-483D-81D1-9CEB028A1220}" srcOrd="2" destOrd="0" presId="urn:microsoft.com/office/officeart/2005/8/layout/orgChart1"/>
    <dgm:cxn modelId="{94BF9BC4-CE2F-4A7E-B0E7-53EA5718DBF9}" type="presParOf" srcId="{7C390268-DD70-4E18-AAA6-B5A8F68A002A}" destId="{10EF37AD-7D1D-4B2A-94E2-6B854772224C}" srcOrd="2" destOrd="0" presId="urn:microsoft.com/office/officeart/2005/8/layout/orgChart1"/>
    <dgm:cxn modelId="{F83FF52E-62D2-41F3-AD64-8DB5313244B0}" type="presParOf" srcId="{7C390268-DD70-4E18-AAA6-B5A8F68A002A}" destId="{753D15EB-24BE-4369-BE3D-72429B14940C}" srcOrd="3" destOrd="0" presId="urn:microsoft.com/office/officeart/2005/8/layout/orgChart1"/>
    <dgm:cxn modelId="{F31ACA5F-93E2-40AD-9C7A-51DC697490D2}" type="presParOf" srcId="{753D15EB-24BE-4369-BE3D-72429B14940C}" destId="{E6A3CB27-A10C-47B0-8FD6-BD1EC5EB089C}" srcOrd="0" destOrd="0" presId="urn:microsoft.com/office/officeart/2005/8/layout/orgChart1"/>
    <dgm:cxn modelId="{33A36439-AFF7-4135-B59B-B5FD6E044F99}" type="presParOf" srcId="{E6A3CB27-A10C-47B0-8FD6-BD1EC5EB089C}" destId="{13358E99-03F9-46BF-802D-2CBBB5EF9E22}" srcOrd="0" destOrd="0" presId="urn:microsoft.com/office/officeart/2005/8/layout/orgChart1"/>
    <dgm:cxn modelId="{4C927EEF-1A28-4DF7-A4ED-52EFBDC1399F}" type="presParOf" srcId="{E6A3CB27-A10C-47B0-8FD6-BD1EC5EB089C}" destId="{A865CCE9-E380-4E43-8FB0-FB86D4169A5D}" srcOrd="1" destOrd="0" presId="urn:microsoft.com/office/officeart/2005/8/layout/orgChart1"/>
    <dgm:cxn modelId="{BB363C36-0540-48B9-B0D5-DB4C166344BD}" type="presParOf" srcId="{753D15EB-24BE-4369-BE3D-72429B14940C}" destId="{D2D9F881-1269-413E-8A82-A1D9236EC285}" srcOrd="1" destOrd="0" presId="urn:microsoft.com/office/officeart/2005/8/layout/orgChart1"/>
    <dgm:cxn modelId="{7DB65067-E112-4BAB-8457-F3E0F672A75B}" type="presParOf" srcId="{753D15EB-24BE-4369-BE3D-72429B14940C}" destId="{200E4BC4-0D80-45FE-AAC0-D880ACFA6A58}" srcOrd="2" destOrd="0" presId="urn:microsoft.com/office/officeart/2005/8/layout/orgChart1"/>
    <dgm:cxn modelId="{9BD46D57-77E7-4136-8824-C90493D81C97}" type="presParOf" srcId="{7C390268-DD70-4E18-AAA6-B5A8F68A002A}" destId="{5D858CB2-28B3-48E9-829F-6BB11F970928}" srcOrd="4" destOrd="0" presId="urn:microsoft.com/office/officeart/2005/8/layout/orgChart1"/>
    <dgm:cxn modelId="{3E6F5EAD-DBCA-4708-A7C2-CEF94FF69FB4}" type="presParOf" srcId="{7C390268-DD70-4E18-AAA6-B5A8F68A002A}" destId="{351EEAF8-282A-4870-B395-837F5379D8E8}" srcOrd="5" destOrd="0" presId="urn:microsoft.com/office/officeart/2005/8/layout/orgChart1"/>
    <dgm:cxn modelId="{30A98ABE-C611-40C7-AF17-D0589A99B7BA}" type="presParOf" srcId="{351EEAF8-282A-4870-B395-837F5379D8E8}" destId="{AC232000-19E5-4B15-B3DC-90BCF94FCEF2}" srcOrd="0" destOrd="0" presId="urn:microsoft.com/office/officeart/2005/8/layout/orgChart1"/>
    <dgm:cxn modelId="{8BD61AFA-C554-4ED8-BF9D-00FF4D68B8AE}" type="presParOf" srcId="{AC232000-19E5-4B15-B3DC-90BCF94FCEF2}" destId="{B41743C7-B880-411C-A642-037B7BFF67C2}" srcOrd="0" destOrd="0" presId="urn:microsoft.com/office/officeart/2005/8/layout/orgChart1"/>
    <dgm:cxn modelId="{D411D560-B2B8-401B-AC6F-9D36B4107F85}" type="presParOf" srcId="{AC232000-19E5-4B15-B3DC-90BCF94FCEF2}" destId="{A4C864E6-0A27-471B-AFF7-46B2B4B5A37B}" srcOrd="1" destOrd="0" presId="urn:microsoft.com/office/officeart/2005/8/layout/orgChart1"/>
    <dgm:cxn modelId="{D954728B-9AC5-4D07-A30A-FB3602AEC3BC}" type="presParOf" srcId="{351EEAF8-282A-4870-B395-837F5379D8E8}" destId="{CB3C8F7B-857D-4058-B383-F2159C7879BC}" srcOrd="1" destOrd="0" presId="urn:microsoft.com/office/officeart/2005/8/layout/orgChart1"/>
    <dgm:cxn modelId="{1549A267-B2BB-4CB7-AC9B-2E7723DEC121}" type="presParOf" srcId="{351EEAF8-282A-4870-B395-837F5379D8E8}" destId="{DE4B826D-6193-43B4-A74F-098A1D350D34}" srcOrd="2" destOrd="0" presId="urn:microsoft.com/office/officeart/2005/8/layout/orgChart1"/>
    <dgm:cxn modelId="{DFC383FC-1060-48BC-BCC4-E23A0D8D414A}" type="presParOf" srcId="{27AF854E-122C-4E48-BD02-AC8D7EF07BD5}" destId="{4D11D627-90B4-434F-8289-C49345608398}"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8EBC57-C238-411B-9313-8616BBD6A16F}">
      <dsp:nvSpPr>
        <dsp:cNvPr id="0" name=""/>
        <dsp:cNvSpPr/>
      </dsp:nvSpPr>
      <dsp:spPr>
        <a:xfrm>
          <a:off x="0" y="0"/>
          <a:ext cx="5897880" cy="4019550"/>
        </a:xfrm>
        <a:prstGeom prst="roundRect">
          <a:avLst>
            <a:gd name="adj" fmla="val 8500"/>
          </a:avLst>
        </a:prstGeom>
        <a:solidFill>
          <a:schemeClr val="accent1">
            <a:lumMod val="40000"/>
            <a:lumOff val="60000"/>
            <a:alpha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3119617" numCol="1" spcCol="1270" anchor="t" anchorCtr="0">
          <a:noAutofit/>
        </a:bodyPr>
        <a:lstStyle/>
        <a:p>
          <a:pPr marL="0" lvl="0" indent="0" algn="l" defTabSz="666750">
            <a:lnSpc>
              <a:spcPct val="90000"/>
            </a:lnSpc>
            <a:spcBef>
              <a:spcPct val="0"/>
            </a:spcBef>
            <a:spcAft>
              <a:spcPct val="35000"/>
            </a:spcAft>
            <a:buFont typeface="Wingdings" panose="05000000000000000000" pitchFamily="2" charset="2"/>
            <a:buNone/>
          </a:pPr>
          <a:r>
            <a:rPr lang="en-GB" sz="1500" b="1" kern="1200">
              <a:solidFill>
                <a:sysClr val="windowText" lastClr="000000"/>
              </a:solidFill>
            </a:rPr>
            <a:t>Other SDGs (strong determinants of health outcomes) </a:t>
          </a:r>
          <a:r>
            <a:rPr lang="en-GB" sz="1500" kern="1200">
              <a:solidFill>
                <a:sysClr val="windowText" lastClr="000000"/>
              </a:solidFill>
            </a:rPr>
            <a:t>that PMNCH will contribute to and track:</a:t>
          </a:r>
        </a:p>
      </dsp:txBody>
      <dsp:txXfrm>
        <a:off x="100069" y="100069"/>
        <a:ext cx="5697742" cy="3819412"/>
      </dsp:txXfrm>
    </dsp:sp>
    <dsp:sp modelId="{CB6306C2-283C-4EC3-A717-429444BF5779}">
      <dsp:nvSpPr>
        <dsp:cNvPr id="0" name=""/>
        <dsp:cNvSpPr/>
      </dsp:nvSpPr>
      <dsp:spPr>
        <a:xfrm>
          <a:off x="147447" y="1004887"/>
          <a:ext cx="884682" cy="342093"/>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1.1</a:t>
          </a:r>
          <a:r>
            <a:rPr lang="en-GB" sz="900" kern="1200"/>
            <a:t>: Poverty Reduction</a:t>
          </a:r>
        </a:p>
      </dsp:txBody>
      <dsp:txXfrm>
        <a:off x="157968" y="1015408"/>
        <a:ext cx="863640" cy="321051"/>
      </dsp:txXfrm>
    </dsp:sp>
    <dsp:sp modelId="{7AD48926-00B2-4255-B747-E453AE2FF49E}">
      <dsp:nvSpPr>
        <dsp:cNvPr id="0" name=""/>
        <dsp:cNvSpPr/>
      </dsp:nvSpPr>
      <dsp:spPr>
        <a:xfrm>
          <a:off x="147447" y="1357737"/>
          <a:ext cx="884682" cy="342093"/>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3077"/>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2.2</a:t>
          </a:r>
          <a:r>
            <a:rPr lang="en-GB" sz="900" kern="1200"/>
            <a:t>: Nutrition</a:t>
          </a:r>
        </a:p>
      </dsp:txBody>
      <dsp:txXfrm>
        <a:off x="157968" y="1368258"/>
        <a:ext cx="863640" cy="321051"/>
      </dsp:txXfrm>
    </dsp:sp>
    <dsp:sp modelId="{90E07812-8F53-4CA2-BBE2-8A4C89B6F21F}">
      <dsp:nvSpPr>
        <dsp:cNvPr id="0" name=""/>
        <dsp:cNvSpPr/>
      </dsp:nvSpPr>
      <dsp:spPr>
        <a:xfrm>
          <a:off x="147447" y="1710586"/>
          <a:ext cx="884682" cy="342093"/>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6154"/>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4.1</a:t>
          </a:r>
          <a:r>
            <a:rPr lang="en-GB" sz="900" kern="1200"/>
            <a:t>: Girls’ Education</a:t>
          </a:r>
        </a:p>
      </dsp:txBody>
      <dsp:txXfrm>
        <a:off x="157968" y="1721107"/>
        <a:ext cx="863640" cy="321051"/>
      </dsp:txXfrm>
    </dsp:sp>
    <dsp:sp modelId="{E2A34EF5-F5AA-4E4E-B4FC-B5FDFFF1665F}">
      <dsp:nvSpPr>
        <dsp:cNvPr id="0" name=""/>
        <dsp:cNvSpPr/>
      </dsp:nvSpPr>
      <dsp:spPr>
        <a:xfrm>
          <a:off x="147447" y="2063436"/>
          <a:ext cx="884682" cy="342093"/>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9231"/>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4.2</a:t>
          </a:r>
          <a:r>
            <a:rPr lang="en-GB" sz="900" kern="1200"/>
            <a:t>: Early Childhood Development</a:t>
          </a:r>
        </a:p>
      </dsp:txBody>
      <dsp:txXfrm>
        <a:off x="157968" y="2073957"/>
        <a:ext cx="863640" cy="321051"/>
      </dsp:txXfrm>
    </dsp:sp>
    <dsp:sp modelId="{18C6AA0D-A675-41EA-967C-ED26A4EFCDF1}">
      <dsp:nvSpPr>
        <dsp:cNvPr id="0" name=""/>
        <dsp:cNvSpPr/>
      </dsp:nvSpPr>
      <dsp:spPr>
        <a:xfrm>
          <a:off x="147447" y="2416286"/>
          <a:ext cx="884682" cy="342093"/>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12308"/>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5</a:t>
          </a:r>
          <a:r>
            <a:rPr lang="en-GB" sz="900" kern="1200"/>
            <a:t>: Gender Equality</a:t>
          </a:r>
        </a:p>
      </dsp:txBody>
      <dsp:txXfrm>
        <a:off x="157968" y="2426807"/>
        <a:ext cx="863640" cy="321051"/>
      </dsp:txXfrm>
    </dsp:sp>
    <dsp:sp modelId="{4EA0067D-18F0-4453-BBEF-79FCF2C8D4B7}">
      <dsp:nvSpPr>
        <dsp:cNvPr id="0" name=""/>
        <dsp:cNvSpPr/>
      </dsp:nvSpPr>
      <dsp:spPr>
        <a:xfrm>
          <a:off x="147447" y="2769135"/>
          <a:ext cx="884682" cy="342093"/>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15385"/>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6</a:t>
          </a:r>
          <a:r>
            <a:rPr lang="en-GB" sz="900" kern="1200"/>
            <a:t>: WASH</a:t>
          </a:r>
        </a:p>
      </dsp:txBody>
      <dsp:txXfrm>
        <a:off x="157968" y="2779656"/>
        <a:ext cx="863640" cy="321051"/>
      </dsp:txXfrm>
    </dsp:sp>
    <dsp:sp modelId="{50AE1CD5-2A5C-4A78-A062-D75F5861767B}">
      <dsp:nvSpPr>
        <dsp:cNvPr id="0" name=""/>
        <dsp:cNvSpPr/>
      </dsp:nvSpPr>
      <dsp:spPr>
        <a:xfrm>
          <a:off x="147447" y="3121985"/>
          <a:ext cx="884682" cy="342093"/>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18462"/>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16.2</a:t>
          </a:r>
          <a:r>
            <a:rPr lang="en-GB" sz="900" kern="1200"/>
            <a:t>: Violence Against Children</a:t>
          </a:r>
        </a:p>
      </dsp:txBody>
      <dsp:txXfrm>
        <a:off x="157968" y="3132506"/>
        <a:ext cx="863640" cy="321051"/>
      </dsp:txXfrm>
    </dsp:sp>
    <dsp:sp modelId="{18D6F543-50AD-4664-858A-0B8209DC71E0}">
      <dsp:nvSpPr>
        <dsp:cNvPr id="0" name=""/>
        <dsp:cNvSpPr/>
      </dsp:nvSpPr>
      <dsp:spPr>
        <a:xfrm>
          <a:off x="147447" y="3474835"/>
          <a:ext cx="884682" cy="342093"/>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21538"/>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17</a:t>
          </a:r>
          <a:r>
            <a:rPr lang="en-GB" sz="900" kern="1200"/>
            <a:t>: Partnerships</a:t>
          </a:r>
        </a:p>
      </dsp:txBody>
      <dsp:txXfrm>
        <a:off x="157968" y="3485356"/>
        <a:ext cx="863640" cy="321051"/>
      </dsp:txXfrm>
    </dsp:sp>
    <dsp:sp modelId="{168292C7-F51A-4C61-8D04-F12C44B1AF26}">
      <dsp:nvSpPr>
        <dsp:cNvPr id="0" name=""/>
        <dsp:cNvSpPr/>
      </dsp:nvSpPr>
      <dsp:spPr>
        <a:xfrm>
          <a:off x="1179576" y="1004887"/>
          <a:ext cx="4570857" cy="2813685"/>
        </a:xfrm>
        <a:prstGeom prst="roundRect">
          <a:avLst>
            <a:gd name="adj" fmla="val 10500"/>
          </a:avLst>
        </a:prstGeom>
        <a:solidFill>
          <a:schemeClr val="accent1">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1786690" numCol="1" spcCol="1270" anchor="t" anchorCtr="0">
          <a:noAutofit/>
        </a:bodyPr>
        <a:lstStyle/>
        <a:p>
          <a:pPr marL="0" lvl="0" indent="0" algn="l" defTabSz="666750">
            <a:lnSpc>
              <a:spcPct val="90000"/>
            </a:lnSpc>
            <a:spcBef>
              <a:spcPct val="0"/>
            </a:spcBef>
            <a:spcAft>
              <a:spcPct val="35000"/>
            </a:spcAft>
            <a:buNone/>
          </a:pPr>
          <a:r>
            <a:rPr lang="en-GB" sz="1500" b="1" kern="1200">
              <a:solidFill>
                <a:sysClr val="windowText" lastClr="000000"/>
              </a:solidFill>
            </a:rPr>
            <a:t>Priority SDG 3 targets and indicators for WCAH</a:t>
          </a:r>
          <a:r>
            <a:rPr lang="en-GB" sz="1500" kern="1200">
              <a:solidFill>
                <a:sysClr val="windowText" lastClr="000000"/>
              </a:solidFill>
            </a:rPr>
            <a:t> most linked to PMNCH’s three objectives of MNCH, SRHR &amp; Adolescents, with a particular focus on equity:</a:t>
          </a:r>
        </a:p>
      </dsp:txBody>
      <dsp:txXfrm>
        <a:off x="1266107" y="1091418"/>
        <a:ext cx="4397795" cy="2640623"/>
      </dsp:txXfrm>
    </dsp:sp>
    <dsp:sp modelId="{4C5673A6-E518-476A-B836-534204BA1FB1}">
      <dsp:nvSpPr>
        <dsp:cNvPr id="0" name=""/>
        <dsp:cNvSpPr/>
      </dsp:nvSpPr>
      <dsp:spPr>
        <a:xfrm>
          <a:off x="1293847" y="2271045"/>
          <a:ext cx="711350" cy="1266158"/>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24615"/>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3.1</a:t>
          </a:r>
          <a:r>
            <a:rPr lang="en-GB" sz="900" kern="1200"/>
            <a:t>: reduction of maternal mortality; % births attended by skilled health personnel</a:t>
          </a:r>
        </a:p>
      </dsp:txBody>
      <dsp:txXfrm>
        <a:off x="1315723" y="2292921"/>
        <a:ext cx="667598" cy="1222406"/>
      </dsp:txXfrm>
    </dsp:sp>
    <dsp:sp modelId="{F8AC70FB-1672-4D42-8CB3-3186D7DDD03B}">
      <dsp:nvSpPr>
        <dsp:cNvPr id="0" name=""/>
        <dsp:cNvSpPr/>
      </dsp:nvSpPr>
      <dsp:spPr>
        <a:xfrm>
          <a:off x="2019690" y="2271045"/>
          <a:ext cx="711350" cy="1266158"/>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27692"/>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3.2</a:t>
          </a:r>
          <a:r>
            <a:rPr lang="en-GB" sz="900" kern="1200"/>
            <a:t>: under-5 mortality; neo-natal mortality</a:t>
          </a:r>
        </a:p>
      </dsp:txBody>
      <dsp:txXfrm>
        <a:off x="2041566" y="2292921"/>
        <a:ext cx="667598" cy="1222406"/>
      </dsp:txXfrm>
    </dsp:sp>
    <dsp:sp modelId="{9624CA3D-8249-4660-9018-808FE9AAE79E}">
      <dsp:nvSpPr>
        <dsp:cNvPr id="0" name=""/>
        <dsp:cNvSpPr/>
      </dsp:nvSpPr>
      <dsp:spPr>
        <a:xfrm>
          <a:off x="2745534" y="2271045"/>
          <a:ext cx="711350" cy="1266158"/>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30769"/>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3.3</a:t>
          </a:r>
          <a:r>
            <a:rPr lang="en-GB" sz="900" kern="1200"/>
            <a:t>: reduction in communicable diseases, including HIV, TB and Malaria</a:t>
          </a:r>
        </a:p>
      </dsp:txBody>
      <dsp:txXfrm>
        <a:off x="2767410" y="2292921"/>
        <a:ext cx="667598" cy="1222406"/>
      </dsp:txXfrm>
    </dsp:sp>
    <dsp:sp modelId="{07D4E684-65D4-40A8-AE6C-94342B2435EF}">
      <dsp:nvSpPr>
        <dsp:cNvPr id="0" name=""/>
        <dsp:cNvSpPr/>
      </dsp:nvSpPr>
      <dsp:spPr>
        <a:xfrm>
          <a:off x="3471377" y="2271045"/>
          <a:ext cx="711350" cy="1266158"/>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33846"/>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3.7</a:t>
          </a:r>
          <a:r>
            <a:rPr lang="en-GB" sz="900" kern="1200"/>
            <a:t>: access to sexual and </a:t>
          </a:r>
          <a:r>
            <a:rPr lang="en-GB" sz="1000" kern="1200"/>
            <a:t>reproductive</a:t>
          </a:r>
          <a:r>
            <a:rPr lang="en-GB" sz="900" kern="1200"/>
            <a:t> health-care services; adolescent birth rates</a:t>
          </a:r>
        </a:p>
      </dsp:txBody>
      <dsp:txXfrm>
        <a:off x="3493253" y="2292921"/>
        <a:ext cx="667598" cy="1222406"/>
      </dsp:txXfrm>
    </dsp:sp>
    <dsp:sp modelId="{FC7342DE-9EDB-4767-8F11-0275FEBA0DF4}">
      <dsp:nvSpPr>
        <dsp:cNvPr id="0" name=""/>
        <dsp:cNvSpPr/>
      </dsp:nvSpPr>
      <dsp:spPr>
        <a:xfrm>
          <a:off x="4197221" y="2271045"/>
          <a:ext cx="711350" cy="1266158"/>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36923"/>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3.8</a:t>
          </a:r>
          <a:r>
            <a:rPr lang="en-GB" sz="900" kern="1200"/>
            <a:t>: universal health coverage</a:t>
          </a:r>
        </a:p>
      </dsp:txBody>
      <dsp:txXfrm>
        <a:off x="4219097" y="2292921"/>
        <a:ext cx="667598" cy="1222406"/>
      </dsp:txXfrm>
    </dsp:sp>
    <dsp:sp modelId="{4A802827-EA36-4B74-9015-4C652FF39AB0}">
      <dsp:nvSpPr>
        <dsp:cNvPr id="0" name=""/>
        <dsp:cNvSpPr/>
      </dsp:nvSpPr>
      <dsp:spPr>
        <a:xfrm>
          <a:off x="4923064" y="2271045"/>
          <a:ext cx="711350" cy="1266158"/>
        </a:xfrm>
        <a:prstGeom prst="roundRect">
          <a:avLst>
            <a:gd name="adj" fmla="val 10500"/>
          </a:avLst>
        </a:prstGeom>
        <a:solidFill>
          <a:schemeClr val="lt1">
            <a:alpha val="90000"/>
            <a:hueOff val="0"/>
            <a:satOff val="0"/>
            <a:lumOff val="0"/>
            <a:alphaOff val="0"/>
          </a:scheme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Courier New" panose="02070309020205020404" pitchFamily="49" charset="0"/>
            <a:buNone/>
          </a:pPr>
          <a:r>
            <a:rPr lang="en-GB" sz="900" b="1" kern="1200"/>
            <a:t> SDG 3.c</a:t>
          </a:r>
          <a:r>
            <a:rPr lang="en-GB" sz="900" kern="1200"/>
            <a:t>: increased health financing; increased health worker density and distribution</a:t>
          </a:r>
        </a:p>
      </dsp:txBody>
      <dsp:txXfrm>
        <a:off x="4944940" y="2292921"/>
        <a:ext cx="667598" cy="12224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858CB2-28B3-48E9-829F-6BB11F970928}">
      <dsp:nvSpPr>
        <dsp:cNvPr id="0" name=""/>
        <dsp:cNvSpPr/>
      </dsp:nvSpPr>
      <dsp:spPr>
        <a:xfrm>
          <a:off x="3108325" y="544669"/>
          <a:ext cx="2021950" cy="229416"/>
        </a:xfrm>
        <a:custGeom>
          <a:avLst/>
          <a:gdLst/>
          <a:ahLst/>
          <a:cxnLst/>
          <a:rect l="0" t="0" r="0" b="0"/>
          <a:pathLst>
            <a:path>
              <a:moveTo>
                <a:pt x="0" y="0"/>
              </a:moveTo>
              <a:lnTo>
                <a:pt x="0" y="115273"/>
              </a:lnTo>
              <a:lnTo>
                <a:pt x="2021950" y="115273"/>
              </a:lnTo>
              <a:lnTo>
                <a:pt x="2021950" y="2294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EF37AD-7D1D-4B2A-94E2-6B854772224C}">
      <dsp:nvSpPr>
        <dsp:cNvPr id="0" name=""/>
        <dsp:cNvSpPr/>
      </dsp:nvSpPr>
      <dsp:spPr>
        <a:xfrm>
          <a:off x="3062605" y="544669"/>
          <a:ext cx="91440" cy="229416"/>
        </a:xfrm>
        <a:custGeom>
          <a:avLst/>
          <a:gdLst/>
          <a:ahLst/>
          <a:cxnLst/>
          <a:rect l="0" t="0" r="0" b="0"/>
          <a:pathLst>
            <a:path>
              <a:moveTo>
                <a:pt x="45720" y="0"/>
              </a:moveTo>
              <a:lnTo>
                <a:pt x="45720" y="115273"/>
              </a:lnTo>
              <a:lnTo>
                <a:pt x="47171" y="115273"/>
              </a:lnTo>
              <a:lnTo>
                <a:pt x="47171" y="2294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7EA04E-6633-4281-91DD-8645D57069F2}">
      <dsp:nvSpPr>
        <dsp:cNvPr id="0" name=""/>
        <dsp:cNvSpPr/>
      </dsp:nvSpPr>
      <dsp:spPr>
        <a:xfrm>
          <a:off x="1024329" y="544669"/>
          <a:ext cx="2083995" cy="229416"/>
        </a:xfrm>
        <a:custGeom>
          <a:avLst/>
          <a:gdLst/>
          <a:ahLst/>
          <a:cxnLst/>
          <a:rect l="0" t="0" r="0" b="0"/>
          <a:pathLst>
            <a:path>
              <a:moveTo>
                <a:pt x="2083995" y="0"/>
              </a:moveTo>
              <a:lnTo>
                <a:pt x="2083995" y="115273"/>
              </a:lnTo>
              <a:lnTo>
                <a:pt x="0" y="115273"/>
              </a:lnTo>
              <a:lnTo>
                <a:pt x="0" y="2294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020A0A-1FE2-4970-891C-E8E03E90B766}">
      <dsp:nvSpPr>
        <dsp:cNvPr id="0" name=""/>
        <dsp:cNvSpPr/>
      </dsp:nvSpPr>
      <dsp:spPr>
        <a:xfrm>
          <a:off x="2564785" y="1129"/>
          <a:ext cx="1087078" cy="543539"/>
        </a:xfrm>
        <a:prstGeom prst="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latin typeface="+mn-lt"/>
            </a:rPr>
            <a:t>ADVOCACY</a:t>
          </a:r>
        </a:p>
      </dsp:txBody>
      <dsp:txXfrm>
        <a:off x="2564785" y="1129"/>
        <a:ext cx="1087078" cy="543539"/>
      </dsp:txXfrm>
    </dsp:sp>
    <dsp:sp modelId="{2396C7CC-51DA-410E-AA3F-90F985A2D9DE}">
      <dsp:nvSpPr>
        <dsp:cNvPr id="0" name=""/>
        <dsp:cNvSpPr/>
      </dsp:nvSpPr>
      <dsp:spPr>
        <a:xfrm>
          <a:off x="273543" y="774085"/>
          <a:ext cx="1501571" cy="543539"/>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latin typeface="+mn-lt"/>
            </a:rPr>
            <a:t>Knowledge synthesis &amp; application</a:t>
          </a:r>
        </a:p>
      </dsp:txBody>
      <dsp:txXfrm>
        <a:off x="273543" y="774085"/>
        <a:ext cx="1501571" cy="543539"/>
      </dsp:txXfrm>
    </dsp:sp>
    <dsp:sp modelId="{13358E99-03F9-46BF-802D-2CBBB5EF9E22}">
      <dsp:nvSpPr>
        <dsp:cNvPr id="0" name=""/>
        <dsp:cNvSpPr/>
      </dsp:nvSpPr>
      <dsp:spPr>
        <a:xfrm>
          <a:off x="2320893" y="774085"/>
          <a:ext cx="1577764" cy="543539"/>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latin typeface="+mn-lt"/>
            </a:rPr>
            <a:t>Partner engagement, alignment &amp; empowerment</a:t>
          </a:r>
        </a:p>
      </dsp:txBody>
      <dsp:txXfrm>
        <a:off x="2320893" y="774085"/>
        <a:ext cx="1577764" cy="543539"/>
      </dsp:txXfrm>
    </dsp:sp>
    <dsp:sp modelId="{B41743C7-B880-411C-A642-037B7BFF67C2}">
      <dsp:nvSpPr>
        <dsp:cNvPr id="0" name=""/>
        <dsp:cNvSpPr/>
      </dsp:nvSpPr>
      <dsp:spPr>
        <a:xfrm>
          <a:off x="4412694" y="774085"/>
          <a:ext cx="1435161" cy="543539"/>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latin typeface="+mn-lt"/>
            </a:rPr>
            <a:t>Execution of campaigns &amp; accountability for outcomes</a:t>
          </a:r>
        </a:p>
      </dsp:txBody>
      <dsp:txXfrm>
        <a:off x="4412694" y="774085"/>
        <a:ext cx="1435161" cy="543539"/>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642703B040F4B9C55A916EA259939" ma:contentTypeVersion="10" ma:contentTypeDescription="Create a new document." ma:contentTypeScope="" ma:versionID="23ef277f95313af40475e47962f2331b">
  <xsd:schema xmlns:xsd="http://www.w3.org/2001/XMLSchema" xmlns:xs="http://www.w3.org/2001/XMLSchema" xmlns:p="http://schemas.microsoft.com/office/2006/metadata/properties" xmlns:ns3="0a21e303-2cd6-4a30-82e3-14eba6b4d3e8" targetNamespace="http://schemas.microsoft.com/office/2006/metadata/properties" ma:root="true" ma:fieldsID="4fecef513b213490ccb866f63b08166a" ns3:_="">
    <xsd:import namespace="0a21e303-2cd6-4a30-82e3-14eba6b4d3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1e303-2cd6-4a30-82e3-14eba6b4d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0F73-AB4A-487B-9839-6C256B0000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FA5EF-293E-4C45-BC5D-32CEB74FB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1e303-2cd6-4a30-82e3-14eba6b4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FE312-3AD4-47DB-91C3-BC91B15D12DC}">
  <ds:schemaRefs>
    <ds:schemaRef ds:uri="http://schemas.microsoft.com/sharepoint/v3/contenttype/forms"/>
  </ds:schemaRefs>
</ds:datastoreItem>
</file>

<file path=customXml/itemProps4.xml><?xml version="1.0" encoding="utf-8"?>
<ds:datastoreItem xmlns:ds="http://schemas.openxmlformats.org/officeDocument/2006/customXml" ds:itemID="{B149E1E7-9D14-4AE9-9686-16997836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22</Pages>
  <Words>7744</Words>
  <Characters>44142</Characters>
  <Application>Microsoft Office Word</Application>
  <DocSecurity>0</DocSecurity>
  <Lines>367</Lines>
  <Paragraphs>103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Colenso</dc:creator>
  <cp:keywords/>
  <dc:description/>
  <cp:lastModifiedBy>Peter Colenso</cp:lastModifiedBy>
  <cp:revision>3</cp:revision>
  <cp:lastPrinted>2020-05-18T14:07:00Z</cp:lastPrinted>
  <dcterms:created xsi:type="dcterms:W3CDTF">2020-05-18T15:22:00Z</dcterms:created>
  <dcterms:modified xsi:type="dcterms:W3CDTF">2020-05-18T15:31:00Z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0x010100DD1642703B040F4B9C55A916EA259939</vt:lpwstr>
  </property>
</Properties>
</file>